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B9F847" w14:textId="77777777" w:rsidR="001267F0" w:rsidRDefault="001267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64EBB99" w14:textId="01760565" w:rsidR="7B3C9F5E" w:rsidRDefault="7B3C9F5E" w:rsidP="404F30E8">
      <w:pPr>
        <w:spacing w:after="0"/>
        <w:jc w:val="center"/>
        <w:rPr>
          <w:rFonts w:ascii="Arial" w:eastAsia="Arial" w:hAnsi="Arial" w:cs="Arial"/>
          <w:color w:val="000000" w:themeColor="text1"/>
          <w:sz w:val="28"/>
          <w:szCs w:val="28"/>
        </w:rPr>
      </w:pP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28"/>
          <w:szCs w:val="28"/>
          <w:lang w:val="cs-CZ"/>
        </w:rPr>
        <w:t xml:space="preserve"> přidává do svého portfolia NCC, slovenského lídra v oblasti softwaru pro leasingové společnosti. Akvizicí posílí pozici na středoevropském trhu</w:t>
      </w:r>
    </w:p>
    <w:p w14:paraId="483473D4" w14:textId="77777777" w:rsidR="006C51FA" w:rsidRDefault="006C51FA" w:rsidP="00846D58">
      <w:pPr>
        <w:spacing w:after="0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B704725" w14:textId="77777777" w:rsidR="006C51FA" w:rsidRDefault="006C51FA" w:rsidP="00846D58">
      <w:pPr>
        <w:spacing w:after="0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3490893E" w14:textId="77777777" w:rsidR="006C51FA" w:rsidRDefault="006C51FA" w:rsidP="00846D58">
      <w:pPr>
        <w:spacing w:after="0"/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03E449C1" w14:textId="5D6631C7" w:rsidR="00846D58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u w:val="single"/>
          <w:lang w:val="cs-CZ"/>
        </w:rPr>
        <w:t>Praha, 3. prosince 2024:</w:t>
      </w: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 Společnost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, jeden z největších evropských dodavatelů ICT řešení, oznámila akvizici 100% podílu ve společnosti NCC a. s., jedničky na slovenském trhu softwarových řešení pro leasingové společnosti. Tato strategická akvizice posiluje pozici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Seyforu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 na středoevropském trhu a otevírá nové příležitosti k rozvoji digitální platformy v segmentu leasingu a úvěrů.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 zároveň rozšiřuje svůj tým o další špičkové specialisty v oboru.</w:t>
      </w:r>
    </w:p>
    <w:p w14:paraId="38996886" w14:textId="77777777" w:rsidR="00846D58" w:rsidRDefault="00846D58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529C1C95" w14:textId="2F0A6936" w:rsidR="00846D58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Společnost NCC a. s. se dlouhodobě specializuje na vývoj softwaru pro společnosti poskytující finanční leasing, operativní leasing a úvěry. Software pokrývá celý životní cyklus od péče o zákazníka po správu leasingové smlouvy. Silnou pozici společnosti v tomto segmentu demonstruje fakt, že mezi zákazníky společnosti patří hlavní hráči na slovenském trhu. Klíčovým produktem NCC a. s. je vlastní informační systém </w:t>
      </w:r>
      <w:proofErr w:type="spellStart"/>
      <w:proofErr w:type="gram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LeasIt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!</w:t>
      </w:r>
      <w:r w:rsidR="00FA3B8B">
        <w:rPr>
          <w:rStyle w:val="normaltextrun"/>
          <w:rFonts w:ascii="Arial" w:eastAsia="Arial" w:hAnsi="Arial" w:cs="Arial"/>
          <w:color w:val="000000" w:themeColor="text1"/>
          <w:lang w:val="cs-CZ"/>
        </w:rPr>
        <w:t>,</w:t>
      </w:r>
      <w:proofErr w:type="gramEnd"/>
      <w:r w:rsidR="00FA3B8B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</w:t>
      </w: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komplexní nástroj na vedení agendy leasingových společností.</w:t>
      </w:r>
    </w:p>
    <w:p w14:paraId="31106ED4" w14:textId="77777777" w:rsidR="00846D58" w:rsidRDefault="00846D58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750E28B3" w14:textId="77777777" w:rsidR="00846D58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Akvizicí společnosti NCC a. s. posiluje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významně svou pozici na slovenském trhu leasingových společností a získává zde majoritní podíl. Rozšíření zákaznického portfolia mu zároveň otevírá nové možnosti i v ostatních oblastech podnikání. Svůj tým rozšiřuje o další zkušené odborníky v oblasti softwarových řešení pro leasingové společnosti. Komplexní přínosy začlenění NCC do skupiny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se promítnou také do posílení pozice jak na českém, tak i na dalších evropských trzích. Akvizice je dalším krokem souvisejícím s globálními ambicemi společnosti – stát se lídrem v širokém spektru vyspělých digitálních platforem pro firmy všech velikostí.</w:t>
      </w:r>
    </w:p>
    <w:p w14:paraId="131D93DC" w14:textId="77777777" w:rsidR="00846D58" w:rsidRDefault="00846D58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3BD2ECC0" w14:textId="77777777" w:rsidR="00846D58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„</w:t>
      </w:r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 xml:space="preserve">Akvizice NCC dále akceleruje naši expanzi na nové trhy. Spojení know-how obou společností je efektivním nástrojem pro další posun celé naší divize </w:t>
      </w:r>
      <w:proofErr w:type="spellStart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>Enterprise</w:t>
      </w:r>
      <w:proofErr w:type="spellEnd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 xml:space="preserve"> &amp; Public na novou úroveň. Rozšiřujeme portfolio našich IT řešení pro leasingové společnosti, které dosud stálo především na softwaru </w:t>
      </w:r>
      <w:proofErr w:type="spellStart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>OneCore</w:t>
      </w:r>
      <w:proofErr w:type="spellEnd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 xml:space="preserve"> a na podnikovém systému </w:t>
      </w:r>
      <w:proofErr w:type="spellStart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>Incadea.dms</w:t>
      </w:r>
      <w:proofErr w:type="spellEnd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 xml:space="preserve"> vyvíjeného naší další partnerskou společností. Spojením s NCC zařazujeme mezi klienty naší skupiny řadu významných slovenských společností podnikajících v oboru leasingu a úvěrů. Společnými silami budeme moci vyvíjet nové inovativní produkty, které budou odpovídat všem potřebám našich zákazníků</w:t>
      </w: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,“ uvedl k akvizici </w:t>
      </w: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Martin Cígler, zakladatel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Seyforu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. Mezi největší zákazníky společnosti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podnikající v oboru nyní patří například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UniCredit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Leasing CZ &amp; SK, Business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Lease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Group nebo Slovenská spořitelna.</w:t>
      </w:r>
    </w:p>
    <w:p w14:paraId="2509DC5A" w14:textId="77777777" w:rsidR="00846D58" w:rsidRDefault="00846D58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383DEE56" w14:textId="52912373" w:rsidR="7B3C9F5E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Výši transakce ohodnocuje NCC a.s. na vyšší desítky milionů korun, společnost bude dále podnikat pod svým jménem. Juraj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Starzl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, jeden z jejích zakladatelů, zůstává na pozici CEO společnosti NCC a bude se nadále podílet na rozvoji společných aktivit a produktů. „</w:t>
      </w:r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 xml:space="preserve">Spojení se </w:t>
      </w:r>
      <w:proofErr w:type="spellStart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>Seyforem</w:t>
      </w:r>
      <w:proofErr w:type="spellEnd"/>
      <w:r w:rsidRPr="404F30E8">
        <w:rPr>
          <w:rStyle w:val="normaltextrun"/>
          <w:rFonts w:ascii="Arial" w:eastAsia="Arial" w:hAnsi="Arial" w:cs="Arial"/>
          <w:i/>
          <w:iCs/>
          <w:color w:val="000000" w:themeColor="text1"/>
          <w:lang w:val="cs-CZ"/>
        </w:rPr>
        <w:t>, který dodává svá softwarová řešení do celého světa, nám otevírá zcela nové možnosti. Získáváme podporu a zázemí silného evropského týmu odborníků, díky kterému budeme moci dále vylepšovat a rozšiřovat nabídku našich služeb a řešení. Věřím, že integrace nám umožní nejen další zvyšování kvality našich služeb a řešení, ale do budoucna také rozšíření produktového portfolia,“</w:t>
      </w: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 xml:space="preserve"> doplňuje </w:t>
      </w: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 xml:space="preserve">Juraj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Starzl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lang w:val="cs-CZ"/>
        </w:rPr>
        <w:t>, zakladatel NCC a. s</w:t>
      </w:r>
      <w:r w:rsidRPr="404F30E8">
        <w:rPr>
          <w:rStyle w:val="normaltextrun"/>
          <w:rFonts w:ascii="Arial" w:eastAsia="Arial" w:hAnsi="Arial" w:cs="Arial"/>
          <w:color w:val="000000" w:themeColor="text1"/>
          <w:lang w:val="cs-CZ"/>
        </w:rPr>
        <w:t>.</w:t>
      </w:r>
    </w:p>
    <w:p w14:paraId="336B094D" w14:textId="77777777" w:rsidR="00846D58" w:rsidRDefault="00846D58" w:rsidP="00846D58">
      <w:pPr>
        <w:spacing w:after="0"/>
        <w:jc w:val="both"/>
        <w:rPr>
          <w:rFonts w:ascii="Arial" w:eastAsia="Arial" w:hAnsi="Arial" w:cs="Arial"/>
          <w:color w:val="000000" w:themeColor="text1"/>
        </w:rPr>
      </w:pPr>
    </w:p>
    <w:p w14:paraId="5D0012FC" w14:textId="67333AFE" w:rsidR="7B3C9F5E" w:rsidRDefault="7B3C9F5E" w:rsidP="00846D58">
      <w:pPr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18"/>
          <w:szCs w:val="18"/>
          <w:lang w:val="cs-CZ"/>
        </w:rPr>
        <w:lastRenderedPageBreak/>
        <w:t xml:space="preserve">O společnosti </w:t>
      </w:r>
      <w:proofErr w:type="spellStart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18"/>
          <w:szCs w:val="18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18"/>
          <w:szCs w:val="18"/>
          <w:lang w:val="cs-CZ"/>
        </w:rPr>
        <w:t>:  </w:t>
      </w:r>
      <w:r w:rsidRPr="404F30E8">
        <w:rPr>
          <w:rStyle w:val="eop"/>
          <w:rFonts w:ascii="Arial" w:eastAsia="Arial" w:hAnsi="Arial" w:cs="Arial"/>
          <w:color w:val="000000" w:themeColor="text1"/>
          <w:sz w:val="18"/>
          <w:szCs w:val="18"/>
          <w:lang w:val="cs-CZ"/>
        </w:rPr>
        <w:t> </w:t>
      </w:r>
    </w:p>
    <w:p w14:paraId="61BC62EE" w14:textId="71938EC4" w:rsidR="7B3C9F5E" w:rsidRDefault="7B3C9F5E" w:rsidP="404F30E8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, a.s. je jedním z velkých evropských dodavatelů ICT řešení. Společnost má přes 1 700 zaměstnanců a obsluhuje zákazníky ve 38 zemích. V roce 2023 zaznamenal počtvrté za sebou 30% meziroční růst obratu a dlouhodobě patří k nejrychleji rostoucím IT společnostem v regionu.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Seyfor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 je největším výrobcem účetních, ERP a mzdových a personálních systémů v České republice a lídrem na českém, slovinském a srbském trhu. V posledních letech uskutečnila společnost desítky významných akvizic IT firem v České republice, na Slovensku a na Balkáně. Firma byla původně založena v roce 1990 jako Cígler Software, v letech 2017–2022 působila pod značkou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Solitea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. Ovládajícími vlastníky společnosti jsou slovenský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Sandberg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Capital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 a český podnikatel Martin Cígler. </w:t>
      </w:r>
    </w:p>
    <w:p w14:paraId="6CE4A182" w14:textId="627350A4" w:rsidR="404F30E8" w:rsidRDefault="404F30E8" w:rsidP="404F30E8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</w:p>
    <w:p w14:paraId="765EB3D4" w14:textId="70873391" w:rsidR="7B3C9F5E" w:rsidRDefault="7B3C9F5E" w:rsidP="404F30E8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 w:rsidRPr="404F30E8">
        <w:rPr>
          <w:rStyle w:val="normaltextrun"/>
          <w:rFonts w:ascii="Arial" w:eastAsia="Arial" w:hAnsi="Arial" w:cs="Arial"/>
          <w:b/>
          <w:bCs/>
          <w:color w:val="000000" w:themeColor="text1"/>
          <w:sz w:val="18"/>
          <w:szCs w:val="18"/>
          <w:lang w:val="cs-CZ"/>
        </w:rPr>
        <w:t>O NCC a.s.:  </w:t>
      </w:r>
      <w:r w:rsidRPr="404F30E8">
        <w:rPr>
          <w:rStyle w:val="eop"/>
          <w:rFonts w:ascii="Arial" w:eastAsia="Arial" w:hAnsi="Arial" w:cs="Arial"/>
          <w:color w:val="000000" w:themeColor="text1"/>
          <w:sz w:val="18"/>
          <w:szCs w:val="18"/>
          <w:lang w:val="cs-CZ"/>
        </w:rPr>
        <w:t> </w:t>
      </w:r>
    </w:p>
    <w:p w14:paraId="4F31ED5D" w14:textId="3520A0B6" w:rsidR="7B3C9F5E" w:rsidRDefault="7B3C9F5E" w:rsidP="404F30E8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 xml:space="preserve">Společnost NCC a.s. je lídrem na slovenském trhu v oblasti vývoje leasingového software. Od svého založení v roce 1992 neustále v tomto odvětví posiluje a mezi její zákazníky patří dnes největší slovenské společnosti podnikající v daném oboru. Mezi klíčové produkty NCC a.s. patří informační systém </w:t>
      </w:r>
      <w:proofErr w:type="spellStart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Leasit</w:t>
      </w:r>
      <w:proofErr w:type="spellEnd"/>
      <w:r w:rsidRPr="404F30E8">
        <w:rPr>
          <w:rStyle w:val="normaltextrun"/>
          <w:rFonts w:ascii="Arial" w:eastAsia="Arial" w:hAnsi="Arial" w:cs="Arial"/>
          <w:color w:val="000000" w:themeColor="text1"/>
          <w:sz w:val="18"/>
          <w:szCs w:val="18"/>
          <w:lang w:val="cs-CZ"/>
        </w:rPr>
        <w:t>, komplexní nástroj na vedení agendy leasingových společností, a velmi flexibilní integrovaný podnikový systém Navision použitelný na všech úrovních.</w:t>
      </w:r>
    </w:p>
    <w:p w14:paraId="647572F4" w14:textId="1FD9FA43" w:rsidR="404F30E8" w:rsidRDefault="404F30E8" w:rsidP="404F30E8">
      <w:pPr>
        <w:shd w:val="clear" w:color="auto" w:fill="FFFFFF" w:themeFill="background1"/>
        <w:spacing w:after="0"/>
        <w:jc w:val="both"/>
        <w:rPr>
          <w:rFonts w:ascii="Arial" w:eastAsia="Arial" w:hAnsi="Arial" w:cs="Arial"/>
          <w:color w:val="000000" w:themeColor="text1"/>
          <w:sz w:val="18"/>
          <w:szCs w:val="18"/>
        </w:rPr>
      </w:pPr>
    </w:p>
    <w:p w14:paraId="1F438E5B" w14:textId="7D569102" w:rsidR="7B3C9F5E" w:rsidRDefault="7B3C9F5E" w:rsidP="404F30E8">
      <w:pPr>
        <w:spacing w:after="0"/>
        <w:rPr>
          <w:rFonts w:ascii="Arial" w:eastAsia="Arial" w:hAnsi="Arial" w:cs="Arial"/>
          <w:color w:val="000000" w:themeColor="text1"/>
          <w:sz w:val="18"/>
          <w:szCs w:val="18"/>
        </w:rPr>
      </w:pPr>
      <w:r w:rsidRPr="404F30E8">
        <w:rPr>
          <w:rStyle w:val="eop"/>
          <w:rFonts w:ascii="Arial" w:eastAsia="Arial" w:hAnsi="Arial" w:cs="Arial"/>
          <w:color w:val="000000" w:themeColor="text1"/>
          <w:sz w:val="18"/>
          <w:szCs w:val="18"/>
          <w:lang w:val="cs-CZ"/>
        </w:rPr>
        <w:t> </w:t>
      </w:r>
    </w:p>
    <w:p w14:paraId="52F752CF" w14:textId="4BFC59D4" w:rsidR="7B3C9F5E" w:rsidRDefault="7B3C9F5E" w:rsidP="404F30E8">
      <w:pPr>
        <w:spacing w:after="0"/>
        <w:rPr>
          <w:rFonts w:ascii="Arial" w:eastAsia="Arial" w:hAnsi="Arial" w:cs="Arial"/>
          <w:color w:val="000000" w:themeColor="text1"/>
          <w:sz w:val="18"/>
          <w:szCs w:val="18"/>
        </w:rPr>
      </w:pPr>
      <w:r w:rsidRPr="404F30E8">
        <w:rPr>
          <w:rStyle w:val="eop"/>
          <w:rFonts w:ascii="Arial" w:eastAsia="Arial" w:hAnsi="Arial" w:cs="Arial"/>
          <w:color w:val="000000" w:themeColor="text1"/>
          <w:sz w:val="18"/>
          <w:szCs w:val="18"/>
          <w:lang w:val="cs-CZ"/>
        </w:rPr>
        <w:t> </w:t>
      </w:r>
    </w:p>
    <w:p w14:paraId="65F601E4" w14:textId="03928B24" w:rsidR="404F30E8" w:rsidRDefault="404F30E8" w:rsidP="404F30E8">
      <w:pPr>
        <w:rPr>
          <w:color w:val="000000" w:themeColor="text1"/>
          <w:sz w:val="24"/>
          <w:szCs w:val="24"/>
        </w:rPr>
      </w:pPr>
    </w:p>
    <w:p w14:paraId="61C8EA7B" w14:textId="518E035F" w:rsidR="404F30E8" w:rsidRDefault="404F30E8" w:rsidP="404F30E8">
      <w:pPr>
        <w:shd w:val="clear" w:color="auto" w:fill="FFFFFF" w:themeFill="background1"/>
        <w:spacing w:after="0" w:line="240" w:lineRule="auto"/>
        <w:contextualSpacing/>
        <w:jc w:val="both"/>
        <w:rPr>
          <w:rFonts w:ascii="Arial" w:eastAsia="Arial" w:hAnsi="Arial" w:cs="Arial"/>
          <w:sz w:val="18"/>
          <w:szCs w:val="18"/>
        </w:rPr>
      </w:pPr>
    </w:p>
    <w:sectPr w:rsidR="404F30E8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13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F6E54" w14:textId="77777777" w:rsidR="00D73622" w:rsidRDefault="00D73622">
      <w:pPr>
        <w:spacing w:after="0" w:line="240" w:lineRule="auto"/>
      </w:pPr>
      <w:r>
        <w:separator/>
      </w:r>
    </w:p>
  </w:endnote>
  <w:endnote w:type="continuationSeparator" w:id="0">
    <w:p w14:paraId="10B95B4E" w14:textId="77777777" w:rsidR="00D73622" w:rsidRDefault="00D73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9B52B" w14:textId="62F297AE" w:rsidR="001267F0" w:rsidRDefault="00FF44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FB1DA8F" wp14:editId="145C42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6" name="Textové pole 6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48ADF0" w14:textId="1D45A875" w:rsidR="00FF4406" w:rsidRPr="00FF4406" w:rsidRDefault="00FF4406" w:rsidP="00FF4406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0FB1DA8F">
              <v:stroke joinstyle="miter"/>
              <v:path gradientshapeok="t" o:connecttype="rect"/>
            </v:shapetype>
            <v:shape id="Textové pole 6" style="position:absolute;margin-left:0;margin-top:0;width:34.95pt;height:34.95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>
              <v:textbox style="mso-fit-shape-to-text:t" inset="20pt,0,0,15pt">
                <w:txbxContent>
                  <w:p w:rsidRPr="00FF4406" w:rsidR="00FF4406" w:rsidP="00FF4406" w:rsidRDefault="00FF4406" w14:paraId="3648ADF0" w14:textId="1D45A875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hidden="0" allowOverlap="1" wp14:anchorId="3FE791EB" wp14:editId="31D5B751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1" name="Obdĺžnik 1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558975" w14:textId="77777777" w:rsidR="001267F0" w:rsidRDefault="005E0BE5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ĺžnik 1" style="position:absolute;margin-left:-71pt;margin-top:0;width:36.45pt;height:36.45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7" filled="f" stroked="f" w14:anchorId="3FE791E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VG6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jrAqCt6GteedsDQy62hks8Cw04ArbbgbKR11xx/&#10;HQQozvqvluY5Lxd5Hg8kWQTgCpoEio95GePCys7R/TRX+DmkazqL/HQITpvU0E3ERS0tMI3kcmzx&#10;Qt7aKev2S2x+Aw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+3lRur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5F558975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26709A" w14:textId="21BD9996" w:rsidR="001267F0" w:rsidRDefault="005E0B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hidden="0" allowOverlap="1" wp14:anchorId="6EE67B2F" wp14:editId="01B9C67E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2" name="Obdĺžnik 2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27137E" w14:textId="77777777" w:rsidR="001267F0" w:rsidRDefault="001267F0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rect id="Obdĺžnik 2" style="position:absolute;margin-left:-71pt;margin-top:0;width:36.45pt;height:36.4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28" filled="f" stroked="f" w14:anchorId="6EE67B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">
              <v:textbox inset="20pt,0,0,15pt">
                <w:txbxContent>
                  <w:p w:rsidR="001267F0" w:rsidRDefault="001267F0" w14:paraId="6027137E" w14:textId="77777777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30061C" w14:textId="6A26339C" w:rsidR="001267F0" w:rsidRDefault="00FF440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5696D4D7" wp14:editId="6C69270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3175" b="0"/>
              <wp:wrapNone/>
              <wp:docPr id="5" name="Textové pole 5" descr="Seyfor: Non-public /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2F2F8C" w14:textId="613FECB8" w:rsidR="00FF4406" w:rsidRPr="00FF4406" w:rsidRDefault="00FF4406" w:rsidP="00FF4406">
                          <w:pPr>
                            <w:spacing w:after="0"/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F4406">
                            <w:rPr>
                              <w:noProof/>
                              <w:color w:val="000000"/>
                              <w:sz w:val="20"/>
                              <w:szCs w:val="20"/>
                            </w:rPr>
                            <w:t>Seyfor: Non-public /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shapetype id="_x0000_t202" coordsize="21600,21600" o:spt="202" path="m,l,21600r21600,l21600,xe" w14:anchorId="5696D4D7">
              <v:stroke joinstyle="miter"/>
              <v:path gradientshapeok="t" o:connecttype="rect"/>
            </v:shapetype>
            <v:shape id="Textové pole 5" style="position:absolute;margin-left:0;margin-top:0;width:34.95pt;height:34.95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Seyfor: Non-public / Neveřejné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">
              <v:textbox style="mso-fit-shape-to-text:t" inset="20pt,0,0,15pt">
                <w:txbxContent>
                  <w:p w:rsidRPr="00FF4406" w:rsidR="00FF4406" w:rsidP="00FF4406" w:rsidRDefault="00FF4406" w14:paraId="442F2F8C" w14:textId="613FECB8">
                    <w:pPr>
                      <w:spacing w:after="0"/>
                      <w:rPr>
                        <w:noProof/>
                        <w:color w:val="000000"/>
                        <w:sz w:val="20"/>
                        <w:szCs w:val="20"/>
                      </w:rPr>
                    </w:pPr>
                    <w:r w:rsidRPr="00FF4406">
                      <w:rPr>
                        <w:noProof/>
                        <w:color w:val="000000"/>
                        <w:sz w:val="20"/>
                        <w:szCs w:val="20"/>
                      </w:rPr>
                      <w:t>Seyfor: Non-public /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0BE5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hidden="0" allowOverlap="1" wp14:anchorId="6B095013" wp14:editId="5F51CCB5">
              <wp:simplePos x="0" y="0"/>
              <wp:positionH relativeFrom="column">
                <wp:posOffset>-901699</wp:posOffset>
              </wp:positionH>
              <wp:positionV relativeFrom="paragraph">
                <wp:posOffset>0</wp:posOffset>
              </wp:positionV>
              <wp:extent cx="462915" cy="462915"/>
              <wp:effectExtent l="0" t="0" r="0" b="0"/>
              <wp:wrapNone/>
              <wp:docPr id="3" name="Obdĺžnik 3" descr="Seyfor: Non-public / Neveřejné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24068" y="3558068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A2448" w14:textId="77777777" w:rsidR="001267F0" w:rsidRDefault="005E0BE5">
                          <w:pPr>
                            <w:spacing w:after="0" w:line="258" w:lineRule="auto"/>
                            <w:textDirection w:val="btLr"/>
                          </w:pP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Seyfor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: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Non-public</w:t>
                          </w:r>
                          <w:proofErr w:type="spellEnd"/>
                          <w:r>
                            <w:rPr>
                              <w:color w:val="000000"/>
                              <w:sz w:val="20"/>
                            </w:rPr>
                            <w:t xml:space="preserve"> / </w:t>
                          </w:r>
                          <w:proofErr w:type="spellStart"/>
                          <w:r>
                            <w:rPr>
                              <w:color w:val="000000"/>
                              <w:sz w:val="20"/>
                            </w:rPr>
                            <w:t>Neveřejné</w:t>
                          </w:r>
                          <w:proofErr w:type="spellEnd"/>
                        </w:p>
                      </w:txbxContent>
                    </wps:txbx>
                    <wps:bodyPr spcFirstLastPara="1" wrap="square" lIns="254000" tIns="0" rIns="0" bIns="190500" anchor="b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rect id="Obdĺžnik 3" style="position:absolute;margin-left:-71pt;margin-top:0;width:36.45pt;height:36.45pt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bottom" alt="Seyfor: Non-public / Neveřejné" o:spid="_x0000_s1030" filled="f" stroked="f" w14:anchorId="6B0950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">
              <v:textbox inset="20pt,0,0,15pt">
                <w:txbxContent>
                  <w:p w:rsidR="001267F0" w:rsidRDefault="005E0BE5" w14:paraId="342A2448" w14:textId="77777777">
                    <w:pPr>
                      <w:spacing w:after="0" w:line="258" w:lineRule="auto"/>
                      <w:textDirection w:val="btLr"/>
                    </w:pPr>
                    <w:r>
                      <w:rPr>
                        <w:color w:val="000000"/>
                        <w:sz w:val="20"/>
                      </w:rPr>
                      <w:t>Seyfor: Non-public / Neveřejné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437687" w14:textId="77777777" w:rsidR="00D73622" w:rsidRDefault="00D73622">
      <w:pPr>
        <w:spacing w:after="0" w:line="240" w:lineRule="auto"/>
      </w:pPr>
      <w:r>
        <w:separator/>
      </w:r>
    </w:p>
  </w:footnote>
  <w:footnote w:type="continuationSeparator" w:id="0">
    <w:p w14:paraId="1B6728AA" w14:textId="77777777" w:rsidR="00D73622" w:rsidRDefault="00D73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4A7D4" w14:textId="77777777" w:rsidR="001267F0" w:rsidRDefault="005E0BE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0B7A3B60" wp14:editId="6B448D24">
          <wp:simplePos x="0" y="0"/>
          <wp:positionH relativeFrom="column">
            <wp:posOffset>-48893</wp:posOffset>
          </wp:positionH>
          <wp:positionV relativeFrom="paragraph">
            <wp:posOffset>-246378</wp:posOffset>
          </wp:positionV>
          <wp:extent cx="1206500" cy="347345"/>
          <wp:effectExtent l="0" t="0" r="0" b="0"/>
          <wp:wrapSquare wrapText="bothSides" distT="0" distB="0" distL="114300" distR="11430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6500" cy="3473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7F0"/>
    <w:rsid w:val="000007A0"/>
    <w:rsid w:val="000007A9"/>
    <w:rsid w:val="00002280"/>
    <w:rsid w:val="00002CE1"/>
    <w:rsid w:val="000054A1"/>
    <w:rsid w:val="00007D28"/>
    <w:rsid w:val="0001173B"/>
    <w:rsid w:val="000169F2"/>
    <w:rsid w:val="00021A9A"/>
    <w:rsid w:val="00024523"/>
    <w:rsid w:val="00025444"/>
    <w:rsid w:val="00031A07"/>
    <w:rsid w:val="00032E64"/>
    <w:rsid w:val="00034DDC"/>
    <w:rsid w:val="000431D8"/>
    <w:rsid w:val="0004621C"/>
    <w:rsid w:val="00046E5A"/>
    <w:rsid w:val="00046F4D"/>
    <w:rsid w:val="00051949"/>
    <w:rsid w:val="00051F91"/>
    <w:rsid w:val="000639BB"/>
    <w:rsid w:val="000645F4"/>
    <w:rsid w:val="00070C88"/>
    <w:rsid w:val="00074868"/>
    <w:rsid w:val="00076B2B"/>
    <w:rsid w:val="0008079E"/>
    <w:rsid w:val="000827D6"/>
    <w:rsid w:val="00086EC1"/>
    <w:rsid w:val="000A746E"/>
    <w:rsid w:val="000A7667"/>
    <w:rsid w:val="000D0ACC"/>
    <w:rsid w:val="000D5009"/>
    <w:rsid w:val="000E1553"/>
    <w:rsid w:val="000E74C4"/>
    <w:rsid w:val="000F1972"/>
    <w:rsid w:val="000F6F8D"/>
    <w:rsid w:val="00103FC9"/>
    <w:rsid w:val="001103BB"/>
    <w:rsid w:val="00110F01"/>
    <w:rsid w:val="001111AB"/>
    <w:rsid w:val="0011573B"/>
    <w:rsid w:val="00115C77"/>
    <w:rsid w:val="0011676C"/>
    <w:rsid w:val="00122301"/>
    <w:rsid w:val="00125B85"/>
    <w:rsid w:val="00125BDC"/>
    <w:rsid w:val="001267F0"/>
    <w:rsid w:val="00127799"/>
    <w:rsid w:val="00135BBE"/>
    <w:rsid w:val="00140BA6"/>
    <w:rsid w:val="00141F8F"/>
    <w:rsid w:val="001429A9"/>
    <w:rsid w:val="001429FF"/>
    <w:rsid w:val="0014535B"/>
    <w:rsid w:val="001466D7"/>
    <w:rsid w:val="00163D27"/>
    <w:rsid w:val="00164400"/>
    <w:rsid w:val="0017331D"/>
    <w:rsid w:val="001740FE"/>
    <w:rsid w:val="00175F89"/>
    <w:rsid w:val="001770D8"/>
    <w:rsid w:val="0017773B"/>
    <w:rsid w:val="00180612"/>
    <w:rsid w:val="00181392"/>
    <w:rsid w:val="00185B27"/>
    <w:rsid w:val="00186D2E"/>
    <w:rsid w:val="00195E7A"/>
    <w:rsid w:val="001970EB"/>
    <w:rsid w:val="00197D39"/>
    <w:rsid w:val="001A2C25"/>
    <w:rsid w:val="001A36CD"/>
    <w:rsid w:val="001A6BD4"/>
    <w:rsid w:val="001C0BF5"/>
    <w:rsid w:val="001C377F"/>
    <w:rsid w:val="001D20DB"/>
    <w:rsid w:val="001D49C1"/>
    <w:rsid w:val="001F0953"/>
    <w:rsid w:val="001F1266"/>
    <w:rsid w:val="001F3D42"/>
    <w:rsid w:val="001F4E5D"/>
    <w:rsid w:val="00201D5D"/>
    <w:rsid w:val="00214410"/>
    <w:rsid w:val="00216B42"/>
    <w:rsid w:val="00222798"/>
    <w:rsid w:val="00227119"/>
    <w:rsid w:val="002337F6"/>
    <w:rsid w:val="00237205"/>
    <w:rsid w:val="00242B6B"/>
    <w:rsid w:val="0024517F"/>
    <w:rsid w:val="002452A0"/>
    <w:rsid w:val="002459DB"/>
    <w:rsid w:val="00252FBD"/>
    <w:rsid w:val="00260A70"/>
    <w:rsid w:val="002637C2"/>
    <w:rsid w:val="0026497E"/>
    <w:rsid w:val="0027253C"/>
    <w:rsid w:val="0029566C"/>
    <w:rsid w:val="002A05AF"/>
    <w:rsid w:val="002A5D4C"/>
    <w:rsid w:val="002B0E7A"/>
    <w:rsid w:val="002B105E"/>
    <w:rsid w:val="002B667C"/>
    <w:rsid w:val="002C06CB"/>
    <w:rsid w:val="002C0BA2"/>
    <w:rsid w:val="002C6DF2"/>
    <w:rsid w:val="002D106A"/>
    <w:rsid w:val="002D2426"/>
    <w:rsid w:val="002D2AAB"/>
    <w:rsid w:val="002D460B"/>
    <w:rsid w:val="002D4D3C"/>
    <w:rsid w:val="002E1EED"/>
    <w:rsid w:val="002E72BA"/>
    <w:rsid w:val="002F12E4"/>
    <w:rsid w:val="002F41AD"/>
    <w:rsid w:val="003079BA"/>
    <w:rsid w:val="003137C9"/>
    <w:rsid w:val="00326909"/>
    <w:rsid w:val="003279D3"/>
    <w:rsid w:val="003333CA"/>
    <w:rsid w:val="00333976"/>
    <w:rsid w:val="003374D6"/>
    <w:rsid w:val="00341834"/>
    <w:rsid w:val="00345545"/>
    <w:rsid w:val="00347B9A"/>
    <w:rsid w:val="0035085E"/>
    <w:rsid w:val="003609A6"/>
    <w:rsid w:val="003617AF"/>
    <w:rsid w:val="003655A1"/>
    <w:rsid w:val="0036623D"/>
    <w:rsid w:val="003722FE"/>
    <w:rsid w:val="00373CF9"/>
    <w:rsid w:val="00374473"/>
    <w:rsid w:val="00385870"/>
    <w:rsid w:val="00386DBF"/>
    <w:rsid w:val="003A5D86"/>
    <w:rsid w:val="003B5B06"/>
    <w:rsid w:val="003C2647"/>
    <w:rsid w:val="003C5B50"/>
    <w:rsid w:val="003E4BED"/>
    <w:rsid w:val="003E5189"/>
    <w:rsid w:val="003E7493"/>
    <w:rsid w:val="003F07B4"/>
    <w:rsid w:val="003F5B75"/>
    <w:rsid w:val="004014C9"/>
    <w:rsid w:val="004040BA"/>
    <w:rsid w:val="0040767F"/>
    <w:rsid w:val="00407DD3"/>
    <w:rsid w:val="00407E97"/>
    <w:rsid w:val="004122FA"/>
    <w:rsid w:val="0041397F"/>
    <w:rsid w:val="00416D94"/>
    <w:rsid w:val="004227E4"/>
    <w:rsid w:val="0042429B"/>
    <w:rsid w:val="00427A5A"/>
    <w:rsid w:val="0043057A"/>
    <w:rsid w:val="004372D8"/>
    <w:rsid w:val="0044611B"/>
    <w:rsid w:val="004662DB"/>
    <w:rsid w:val="0047114C"/>
    <w:rsid w:val="00474164"/>
    <w:rsid w:val="00476036"/>
    <w:rsid w:val="004948A6"/>
    <w:rsid w:val="0049607F"/>
    <w:rsid w:val="004A26CE"/>
    <w:rsid w:val="004A4334"/>
    <w:rsid w:val="004A46BF"/>
    <w:rsid w:val="004A5E26"/>
    <w:rsid w:val="004A5F20"/>
    <w:rsid w:val="004A5FEF"/>
    <w:rsid w:val="004B233C"/>
    <w:rsid w:val="004B2529"/>
    <w:rsid w:val="004B305B"/>
    <w:rsid w:val="004B3EC7"/>
    <w:rsid w:val="004C038A"/>
    <w:rsid w:val="004C1B34"/>
    <w:rsid w:val="004C3EA7"/>
    <w:rsid w:val="004D0284"/>
    <w:rsid w:val="004D7A3B"/>
    <w:rsid w:val="004E7931"/>
    <w:rsid w:val="004E7BE4"/>
    <w:rsid w:val="004E7E8C"/>
    <w:rsid w:val="004F569E"/>
    <w:rsid w:val="005027F8"/>
    <w:rsid w:val="0050324E"/>
    <w:rsid w:val="0050555C"/>
    <w:rsid w:val="00505BC1"/>
    <w:rsid w:val="00507BF9"/>
    <w:rsid w:val="00514A15"/>
    <w:rsid w:val="00514E3B"/>
    <w:rsid w:val="00520166"/>
    <w:rsid w:val="00521551"/>
    <w:rsid w:val="00524600"/>
    <w:rsid w:val="005264A8"/>
    <w:rsid w:val="00527DE3"/>
    <w:rsid w:val="00530EEB"/>
    <w:rsid w:val="005358B5"/>
    <w:rsid w:val="0054145C"/>
    <w:rsid w:val="0054498C"/>
    <w:rsid w:val="00553F44"/>
    <w:rsid w:val="0055702C"/>
    <w:rsid w:val="0056120C"/>
    <w:rsid w:val="00564926"/>
    <w:rsid w:val="00570819"/>
    <w:rsid w:val="0057276D"/>
    <w:rsid w:val="00583E0F"/>
    <w:rsid w:val="00583FBC"/>
    <w:rsid w:val="00590989"/>
    <w:rsid w:val="0059505A"/>
    <w:rsid w:val="00596AAD"/>
    <w:rsid w:val="005A0D1C"/>
    <w:rsid w:val="005A0E12"/>
    <w:rsid w:val="005A34F7"/>
    <w:rsid w:val="005B78DA"/>
    <w:rsid w:val="005C5F0A"/>
    <w:rsid w:val="005D6B14"/>
    <w:rsid w:val="005E0BE5"/>
    <w:rsid w:val="005F0EEF"/>
    <w:rsid w:val="006127D9"/>
    <w:rsid w:val="00613B95"/>
    <w:rsid w:val="00615477"/>
    <w:rsid w:val="006350CE"/>
    <w:rsid w:val="00636D41"/>
    <w:rsid w:val="00637B08"/>
    <w:rsid w:val="00637B7E"/>
    <w:rsid w:val="00637FE3"/>
    <w:rsid w:val="00643766"/>
    <w:rsid w:val="00644BDD"/>
    <w:rsid w:val="00644F7F"/>
    <w:rsid w:val="00645651"/>
    <w:rsid w:val="006502D6"/>
    <w:rsid w:val="00654868"/>
    <w:rsid w:val="0066185A"/>
    <w:rsid w:val="006622D0"/>
    <w:rsid w:val="00667B0E"/>
    <w:rsid w:val="00673058"/>
    <w:rsid w:val="00680FB3"/>
    <w:rsid w:val="00687D9A"/>
    <w:rsid w:val="00690E00"/>
    <w:rsid w:val="00693C85"/>
    <w:rsid w:val="00696EA8"/>
    <w:rsid w:val="006A0458"/>
    <w:rsid w:val="006A3093"/>
    <w:rsid w:val="006A4BED"/>
    <w:rsid w:val="006A5084"/>
    <w:rsid w:val="006A5798"/>
    <w:rsid w:val="006A5814"/>
    <w:rsid w:val="006A5FE3"/>
    <w:rsid w:val="006A764C"/>
    <w:rsid w:val="006B3479"/>
    <w:rsid w:val="006B3FE8"/>
    <w:rsid w:val="006C28D5"/>
    <w:rsid w:val="006C51FA"/>
    <w:rsid w:val="006C6A31"/>
    <w:rsid w:val="006D1EB3"/>
    <w:rsid w:val="006D34DE"/>
    <w:rsid w:val="006D36AA"/>
    <w:rsid w:val="006D464E"/>
    <w:rsid w:val="006D4EBB"/>
    <w:rsid w:val="006D5E5F"/>
    <w:rsid w:val="006D6F99"/>
    <w:rsid w:val="006F053B"/>
    <w:rsid w:val="006F6945"/>
    <w:rsid w:val="006F7381"/>
    <w:rsid w:val="007000BE"/>
    <w:rsid w:val="0070561E"/>
    <w:rsid w:val="0071443D"/>
    <w:rsid w:val="0072200D"/>
    <w:rsid w:val="00722B72"/>
    <w:rsid w:val="0073387E"/>
    <w:rsid w:val="007338C1"/>
    <w:rsid w:val="00735630"/>
    <w:rsid w:val="00741F24"/>
    <w:rsid w:val="00746B96"/>
    <w:rsid w:val="00747702"/>
    <w:rsid w:val="007515A8"/>
    <w:rsid w:val="007550CC"/>
    <w:rsid w:val="00756831"/>
    <w:rsid w:val="00764495"/>
    <w:rsid w:val="00775615"/>
    <w:rsid w:val="00781D9F"/>
    <w:rsid w:val="00782810"/>
    <w:rsid w:val="00782892"/>
    <w:rsid w:val="007832B0"/>
    <w:rsid w:val="0078708A"/>
    <w:rsid w:val="00787E71"/>
    <w:rsid w:val="00796BC9"/>
    <w:rsid w:val="007B0EC4"/>
    <w:rsid w:val="007B1FE6"/>
    <w:rsid w:val="007B265D"/>
    <w:rsid w:val="007B4C6F"/>
    <w:rsid w:val="007B7A63"/>
    <w:rsid w:val="007D552C"/>
    <w:rsid w:val="007F2852"/>
    <w:rsid w:val="007F5538"/>
    <w:rsid w:val="0080614F"/>
    <w:rsid w:val="00807212"/>
    <w:rsid w:val="00811C53"/>
    <w:rsid w:val="00811E83"/>
    <w:rsid w:val="0081277D"/>
    <w:rsid w:val="0081553A"/>
    <w:rsid w:val="008232A4"/>
    <w:rsid w:val="00840E79"/>
    <w:rsid w:val="00844667"/>
    <w:rsid w:val="00844996"/>
    <w:rsid w:val="00844B31"/>
    <w:rsid w:val="00846D58"/>
    <w:rsid w:val="0085520F"/>
    <w:rsid w:val="008566B6"/>
    <w:rsid w:val="0086377D"/>
    <w:rsid w:val="00867C72"/>
    <w:rsid w:val="00872CBB"/>
    <w:rsid w:val="00883A30"/>
    <w:rsid w:val="0088433F"/>
    <w:rsid w:val="0089204E"/>
    <w:rsid w:val="0089237C"/>
    <w:rsid w:val="00894643"/>
    <w:rsid w:val="008978F1"/>
    <w:rsid w:val="008A2AE4"/>
    <w:rsid w:val="008A4ABC"/>
    <w:rsid w:val="008B3424"/>
    <w:rsid w:val="008B7925"/>
    <w:rsid w:val="008C1D58"/>
    <w:rsid w:val="008D28AE"/>
    <w:rsid w:val="008D3095"/>
    <w:rsid w:val="008D7240"/>
    <w:rsid w:val="008E3DE3"/>
    <w:rsid w:val="008E518A"/>
    <w:rsid w:val="008F0FC8"/>
    <w:rsid w:val="008F1CAA"/>
    <w:rsid w:val="008F1D95"/>
    <w:rsid w:val="008F1F8A"/>
    <w:rsid w:val="008F267F"/>
    <w:rsid w:val="008F7997"/>
    <w:rsid w:val="00904AF7"/>
    <w:rsid w:val="009136F0"/>
    <w:rsid w:val="0092198C"/>
    <w:rsid w:val="009244C2"/>
    <w:rsid w:val="00925CCB"/>
    <w:rsid w:val="00930B72"/>
    <w:rsid w:val="00930DA7"/>
    <w:rsid w:val="009355DE"/>
    <w:rsid w:val="00935647"/>
    <w:rsid w:val="00937832"/>
    <w:rsid w:val="009451A1"/>
    <w:rsid w:val="00961C39"/>
    <w:rsid w:val="009642D9"/>
    <w:rsid w:val="00965166"/>
    <w:rsid w:val="009663CE"/>
    <w:rsid w:val="00974470"/>
    <w:rsid w:val="00985771"/>
    <w:rsid w:val="009860D7"/>
    <w:rsid w:val="009872C9"/>
    <w:rsid w:val="0099309C"/>
    <w:rsid w:val="009966E4"/>
    <w:rsid w:val="009976A6"/>
    <w:rsid w:val="009A1B53"/>
    <w:rsid w:val="009A2D16"/>
    <w:rsid w:val="009A2EE0"/>
    <w:rsid w:val="009A41B2"/>
    <w:rsid w:val="009B0620"/>
    <w:rsid w:val="009B6A1D"/>
    <w:rsid w:val="009C367D"/>
    <w:rsid w:val="009C4605"/>
    <w:rsid w:val="009C6151"/>
    <w:rsid w:val="009C6454"/>
    <w:rsid w:val="009C65B0"/>
    <w:rsid w:val="009D0796"/>
    <w:rsid w:val="009D1CA9"/>
    <w:rsid w:val="009D3C80"/>
    <w:rsid w:val="009D4D02"/>
    <w:rsid w:val="009E1C93"/>
    <w:rsid w:val="009E3789"/>
    <w:rsid w:val="009F0B1A"/>
    <w:rsid w:val="009F53EC"/>
    <w:rsid w:val="00A0078F"/>
    <w:rsid w:val="00A07DBB"/>
    <w:rsid w:val="00A14682"/>
    <w:rsid w:val="00A14FEF"/>
    <w:rsid w:val="00A34C20"/>
    <w:rsid w:val="00A3745F"/>
    <w:rsid w:val="00A41509"/>
    <w:rsid w:val="00A44058"/>
    <w:rsid w:val="00A4405F"/>
    <w:rsid w:val="00A6029E"/>
    <w:rsid w:val="00A70AAD"/>
    <w:rsid w:val="00A72DCA"/>
    <w:rsid w:val="00A74C2B"/>
    <w:rsid w:val="00A81DCE"/>
    <w:rsid w:val="00A83D83"/>
    <w:rsid w:val="00A84479"/>
    <w:rsid w:val="00A84BC3"/>
    <w:rsid w:val="00A87A82"/>
    <w:rsid w:val="00A97B1E"/>
    <w:rsid w:val="00AA5DA3"/>
    <w:rsid w:val="00AB1F20"/>
    <w:rsid w:val="00AB4380"/>
    <w:rsid w:val="00AB4670"/>
    <w:rsid w:val="00AB5E4D"/>
    <w:rsid w:val="00AB730A"/>
    <w:rsid w:val="00AD1D9E"/>
    <w:rsid w:val="00AD4AC4"/>
    <w:rsid w:val="00AE06F0"/>
    <w:rsid w:val="00AE1872"/>
    <w:rsid w:val="00AE6E4E"/>
    <w:rsid w:val="00AF27C6"/>
    <w:rsid w:val="00AF43C5"/>
    <w:rsid w:val="00B01EF2"/>
    <w:rsid w:val="00B020E3"/>
    <w:rsid w:val="00B03151"/>
    <w:rsid w:val="00B06DC9"/>
    <w:rsid w:val="00B12711"/>
    <w:rsid w:val="00B308BF"/>
    <w:rsid w:val="00B31A16"/>
    <w:rsid w:val="00B32F26"/>
    <w:rsid w:val="00B420BC"/>
    <w:rsid w:val="00B42EE8"/>
    <w:rsid w:val="00B458C9"/>
    <w:rsid w:val="00B57735"/>
    <w:rsid w:val="00B60010"/>
    <w:rsid w:val="00B75C0C"/>
    <w:rsid w:val="00B801BC"/>
    <w:rsid w:val="00B82643"/>
    <w:rsid w:val="00B875B9"/>
    <w:rsid w:val="00B92D82"/>
    <w:rsid w:val="00BA4247"/>
    <w:rsid w:val="00BA61C3"/>
    <w:rsid w:val="00BA6BF1"/>
    <w:rsid w:val="00BB143A"/>
    <w:rsid w:val="00BC3A13"/>
    <w:rsid w:val="00BC51E1"/>
    <w:rsid w:val="00BC6131"/>
    <w:rsid w:val="00BD01B3"/>
    <w:rsid w:val="00BE4302"/>
    <w:rsid w:val="00BE53A0"/>
    <w:rsid w:val="00BF0CB5"/>
    <w:rsid w:val="00BF2F74"/>
    <w:rsid w:val="00BF54C9"/>
    <w:rsid w:val="00BF5CD4"/>
    <w:rsid w:val="00C13B9C"/>
    <w:rsid w:val="00C13BEA"/>
    <w:rsid w:val="00C16B0C"/>
    <w:rsid w:val="00C21B39"/>
    <w:rsid w:val="00C3547C"/>
    <w:rsid w:val="00C3673D"/>
    <w:rsid w:val="00C500B8"/>
    <w:rsid w:val="00C50841"/>
    <w:rsid w:val="00C5598F"/>
    <w:rsid w:val="00C55DC9"/>
    <w:rsid w:val="00C57DB3"/>
    <w:rsid w:val="00C57EE0"/>
    <w:rsid w:val="00C64748"/>
    <w:rsid w:val="00C67163"/>
    <w:rsid w:val="00C76779"/>
    <w:rsid w:val="00C77539"/>
    <w:rsid w:val="00C81251"/>
    <w:rsid w:val="00C82DE2"/>
    <w:rsid w:val="00C850CD"/>
    <w:rsid w:val="00C86849"/>
    <w:rsid w:val="00C9396C"/>
    <w:rsid w:val="00C93BEB"/>
    <w:rsid w:val="00C96D31"/>
    <w:rsid w:val="00CA0C59"/>
    <w:rsid w:val="00CA22A3"/>
    <w:rsid w:val="00CA5986"/>
    <w:rsid w:val="00CA6E66"/>
    <w:rsid w:val="00CB0C8C"/>
    <w:rsid w:val="00CB161C"/>
    <w:rsid w:val="00CC0E0B"/>
    <w:rsid w:val="00CC262D"/>
    <w:rsid w:val="00CC36BE"/>
    <w:rsid w:val="00CE1737"/>
    <w:rsid w:val="00CE4867"/>
    <w:rsid w:val="00CE61DE"/>
    <w:rsid w:val="00CF30B6"/>
    <w:rsid w:val="00CF5FC9"/>
    <w:rsid w:val="00CF7843"/>
    <w:rsid w:val="00D013B1"/>
    <w:rsid w:val="00D04F41"/>
    <w:rsid w:val="00D05787"/>
    <w:rsid w:val="00D12519"/>
    <w:rsid w:val="00D21823"/>
    <w:rsid w:val="00D23837"/>
    <w:rsid w:val="00D2394A"/>
    <w:rsid w:val="00D24F4D"/>
    <w:rsid w:val="00D31E7C"/>
    <w:rsid w:val="00D373B4"/>
    <w:rsid w:val="00D4153B"/>
    <w:rsid w:val="00D43195"/>
    <w:rsid w:val="00D453BE"/>
    <w:rsid w:val="00D474D0"/>
    <w:rsid w:val="00D475BB"/>
    <w:rsid w:val="00D520B5"/>
    <w:rsid w:val="00D550C6"/>
    <w:rsid w:val="00D61A52"/>
    <w:rsid w:val="00D73622"/>
    <w:rsid w:val="00D83362"/>
    <w:rsid w:val="00D85D35"/>
    <w:rsid w:val="00D93819"/>
    <w:rsid w:val="00DA5B9B"/>
    <w:rsid w:val="00DB20A5"/>
    <w:rsid w:val="00DC14FC"/>
    <w:rsid w:val="00DC3262"/>
    <w:rsid w:val="00DC5470"/>
    <w:rsid w:val="00DC6109"/>
    <w:rsid w:val="00DD430D"/>
    <w:rsid w:val="00DD7190"/>
    <w:rsid w:val="00DE3947"/>
    <w:rsid w:val="00DE5596"/>
    <w:rsid w:val="00DF0517"/>
    <w:rsid w:val="00DF58BF"/>
    <w:rsid w:val="00E01A32"/>
    <w:rsid w:val="00E01C9B"/>
    <w:rsid w:val="00E045F3"/>
    <w:rsid w:val="00E10057"/>
    <w:rsid w:val="00E13F63"/>
    <w:rsid w:val="00E15516"/>
    <w:rsid w:val="00E221AB"/>
    <w:rsid w:val="00E3029C"/>
    <w:rsid w:val="00E34E83"/>
    <w:rsid w:val="00E37905"/>
    <w:rsid w:val="00E37A01"/>
    <w:rsid w:val="00E41599"/>
    <w:rsid w:val="00E60F0B"/>
    <w:rsid w:val="00E62767"/>
    <w:rsid w:val="00E6420F"/>
    <w:rsid w:val="00E65F17"/>
    <w:rsid w:val="00E801E1"/>
    <w:rsid w:val="00E84C12"/>
    <w:rsid w:val="00E85A3F"/>
    <w:rsid w:val="00E87101"/>
    <w:rsid w:val="00E93243"/>
    <w:rsid w:val="00E9356A"/>
    <w:rsid w:val="00E95A46"/>
    <w:rsid w:val="00E97F36"/>
    <w:rsid w:val="00EA498F"/>
    <w:rsid w:val="00EA5C90"/>
    <w:rsid w:val="00EB3187"/>
    <w:rsid w:val="00EC3CF4"/>
    <w:rsid w:val="00EC48DE"/>
    <w:rsid w:val="00EC56EE"/>
    <w:rsid w:val="00ED364A"/>
    <w:rsid w:val="00ED3EAF"/>
    <w:rsid w:val="00ED683F"/>
    <w:rsid w:val="00EE05D8"/>
    <w:rsid w:val="00EE1F15"/>
    <w:rsid w:val="00EE247B"/>
    <w:rsid w:val="00EF1530"/>
    <w:rsid w:val="00EF2D0E"/>
    <w:rsid w:val="00EF667E"/>
    <w:rsid w:val="00F00369"/>
    <w:rsid w:val="00F00F97"/>
    <w:rsid w:val="00F046FE"/>
    <w:rsid w:val="00F0664A"/>
    <w:rsid w:val="00F115E0"/>
    <w:rsid w:val="00F140CF"/>
    <w:rsid w:val="00F2109B"/>
    <w:rsid w:val="00F24117"/>
    <w:rsid w:val="00F249CA"/>
    <w:rsid w:val="00F24ED6"/>
    <w:rsid w:val="00F24FC7"/>
    <w:rsid w:val="00F2627A"/>
    <w:rsid w:val="00F275A6"/>
    <w:rsid w:val="00F33AB3"/>
    <w:rsid w:val="00F37489"/>
    <w:rsid w:val="00F41D34"/>
    <w:rsid w:val="00F478DC"/>
    <w:rsid w:val="00F51897"/>
    <w:rsid w:val="00F57473"/>
    <w:rsid w:val="00F653DC"/>
    <w:rsid w:val="00F67202"/>
    <w:rsid w:val="00F70FDF"/>
    <w:rsid w:val="00F848E8"/>
    <w:rsid w:val="00F93DD6"/>
    <w:rsid w:val="00FA3B8B"/>
    <w:rsid w:val="00FB010A"/>
    <w:rsid w:val="00FB2B46"/>
    <w:rsid w:val="00FB51E3"/>
    <w:rsid w:val="00FC0A01"/>
    <w:rsid w:val="00FC5428"/>
    <w:rsid w:val="00FD021C"/>
    <w:rsid w:val="00FD3292"/>
    <w:rsid w:val="00FD4DF2"/>
    <w:rsid w:val="00FE0D91"/>
    <w:rsid w:val="00FE295D"/>
    <w:rsid w:val="00FE3ECF"/>
    <w:rsid w:val="00FE4AAA"/>
    <w:rsid w:val="00FE7F5A"/>
    <w:rsid w:val="00FF001C"/>
    <w:rsid w:val="00FF0A7E"/>
    <w:rsid w:val="00FF4406"/>
    <w:rsid w:val="00FF7562"/>
    <w:rsid w:val="02F23668"/>
    <w:rsid w:val="1405614F"/>
    <w:rsid w:val="2EE83B34"/>
    <w:rsid w:val="3BCDFF69"/>
    <w:rsid w:val="404F30E8"/>
    <w:rsid w:val="4CA04D34"/>
    <w:rsid w:val="4DCA859A"/>
    <w:rsid w:val="60EE48E7"/>
    <w:rsid w:val="7B3C9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89568D"/>
  <w15:docId w15:val="{B1FF3B0B-31BE-49E1-B6E7-5CBEB277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AD1D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D1D9E"/>
  </w:style>
  <w:style w:type="character" w:styleId="Odkaznakoment">
    <w:name w:val="annotation reference"/>
    <w:basedOn w:val="Standardnpsmoodstavce"/>
    <w:uiPriority w:val="99"/>
    <w:semiHidden/>
    <w:unhideWhenUsed/>
    <w:rsid w:val="002C6DF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C6DF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C6DF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C6DF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C6DF2"/>
    <w:rPr>
      <w:b/>
      <w:bCs/>
      <w:sz w:val="20"/>
      <w:szCs w:val="20"/>
    </w:rPr>
  </w:style>
  <w:style w:type="paragraph" w:customStyle="1" w:styleId="paragraph">
    <w:name w:val="paragraph"/>
    <w:basedOn w:val="Normln"/>
    <w:rsid w:val="006D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6D34DE"/>
  </w:style>
  <w:style w:type="character" w:customStyle="1" w:styleId="eop">
    <w:name w:val="eop"/>
    <w:basedOn w:val="Standardnpsmoodstavce"/>
    <w:rsid w:val="006D34DE"/>
  </w:style>
  <w:style w:type="character" w:styleId="Hypertextovodkaz">
    <w:name w:val="Hyperlink"/>
    <w:basedOn w:val="Standardnpsmoodstavce"/>
    <w:uiPriority w:val="99"/>
    <w:unhideWhenUsed/>
    <w:rsid w:val="0072200D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22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49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Mn3UXZ1cl6suHofxhPNkdZZRrA==">CgMxLjA4AHIhMWpnbU43d2dnRDVfbXVEaFVyR2JSbk1wa1RnZURKQ1BQ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be81e134-65c6-4d96-b2bc-29b8ca8ffd70}" enabled="1" method="Standard" siteId="{6e0a5f83-1728-4956-bdf4-ce37760cd21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3904</Characters>
  <Application>Microsoft Office Word</Application>
  <DocSecurity>0</DocSecurity>
  <Lines>32</Lines>
  <Paragraphs>9</Paragraphs>
  <ScaleCrop>false</ScaleCrop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Antonia Rackova Pariciova</dc:creator>
  <cp:lastModifiedBy>Steiger Marek</cp:lastModifiedBy>
  <cp:revision>41</cp:revision>
  <dcterms:created xsi:type="dcterms:W3CDTF">2024-11-29T13:24:00Z</dcterms:created>
  <dcterms:modified xsi:type="dcterms:W3CDTF">2024-12-02T10:42:00Z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59577c4c,6059ac14,35b1f1d,5,6,7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Seyfor: Non-public / Neveřejné</vt:lpwstr>
  </property>
</Properties>
</file>