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D6EA3" w:rsidRPr="000D094C" w:rsidRDefault="00C6091B" w:rsidP="000D094C">
      <w:pPr>
        <w:rPr>
          <w:rFonts w:ascii="Verdana" w:eastAsia="Verdana" w:hAnsi="Verdana" w:cs="Verdana"/>
          <w:b/>
          <w:bCs/>
          <w:sz w:val="32"/>
          <w:szCs w:val="32"/>
        </w:rPr>
      </w:pPr>
      <w:r w:rsidRPr="000D094C">
        <w:rPr>
          <w:rFonts w:ascii="Verdana" w:eastAsia="Verdana" w:hAnsi="Verdana" w:cs="Verdana"/>
          <w:b/>
          <w:bCs/>
          <w:sz w:val="32"/>
          <w:szCs w:val="32"/>
        </w:rPr>
        <w:t>Solitea prodala rakouský JET ERP americkému globálnímu hráči Aptean. Umíme dobře nakupovat ale i prodávat, říká Cígler</w:t>
      </w:r>
    </w:p>
    <w:p w14:paraId="00000002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3" w14:textId="0AC3D202" w:rsidR="000D6EA3" w:rsidRDefault="00DD23E9">
      <w:pPr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 xml:space="preserve">Brno, 17.1.2022 </w:t>
      </w:r>
      <w:r w:rsidR="00C6091B">
        <w:rPr>
          <w:rFonts w:ascii="Verdana" w:eastAsia="Verdana" w:hAnsi="Verdana" w:cs="Verdana"/>
          <w:b/>
        </w:rPr>
        <w:t xml:space="preserve">Mezinárodní IT holding </w:t>
      </w:r>
      <w:hyperlink r:id="rId7">
        <w:r w:rsidR="00C6091B">
          <w:rPr>
            <w:rFonts w:ascii="Verdana" w:eastAsia="Verdana" w:hAnsi="Verdana" w:cs="Verdana"/>
            <w:b/>
            <w:u w:val="single"/>
          </w:rPr>
          <w:t>Solitea</w:t>
        </w:r>
      </w:hyperlink>
      <w:r w:rsidR="00C6091B">
        <w:rPr>
          <w:rFonts w:ascii="Verdana" w:eastAsia="Verdana" w:hAnsi="Verdana" w:cs="Verdana"/>
          <w:b/>
        </w:rPr>
        <w:t xml:space="preserve"> zahájil nový rok velkou mezinárodní transakcí. Prodal jednu z firem svého portfolia – rakouského dodavatele ERP řešení JET ERP. Kupujícím je jeden z nejvýznamnějších globálních poskytovatelů podnikového softwaru, americký </w:t>
      </w:r>
      <w:hyperlink r:id="rId8">
        <w:r w:rsidR="00C6091B">
          <w:rPr>
            <w:rFonts w:ascii="Verdana" w:eastAsia="Verdana" w:hAnsi="Verdana" w:cs="Verdana"/>
            <w:b/>
            <w:u w:val="single"/>
          </w:rPr>
          <w:t>Aptean</w:t>
        </w:r>
      </w:hyperlink>
      <w:r w:rsidR="00C6091B">
        <w:rPr>
          <w:rFonts w:ascii="Verdana" w:eastAsia="Verdana" w:hAnsi="Verdana" w:cs="Verdana"/>
          <w:b/>
        </w:rPr>
        <w:t>. Podle Solitey byl exit mimořádně výhodný – investice se prý zhodnotila několikanásobně.</w:t>
      </w:r>
    </w:p>
    <w:p w14:paraId="00000004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5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Solitea koupila JET ERP v roce 2014. JET ERP je úspěšným poskytovatelem řešení v oblasti informačních systémů pro segment průmyslové výroby a obchodu a zaměřuje se na menší a středně velké společnosti na německy hovořícím trhu.</w:t>
      </w:r>
    </w:p>
    <w:p w14:paraId="00000006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7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„JET ERP je na DACH trhu známá a renomovaná firma a jeden z lídrů ve své oblasti. V době akvizice šlo o velmi dobrou a strategickou koupi. Aptean to dnes vidí stejně a nabídl obchod, který nešlo odmítnout. Naše investice se několikanásobně zhodnotila,” komentuje prodej rakouské společnosti šéf Solitey Martin Cígler. O významu transakce svědčí i to, že za kupující společností Aptean, která má centrálu v USA a operuje na několika kontinentech, stojí dva největší private equity fondy TA Associates a Vista Equity Partners.</w:t>
      </w:r>
    </w:p>
    <w:p w14:paraId="00000008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9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„Umíme dobře nakupovat a taky výhodně prodávat,” shrnuje Cígler s tím, že získané prostředky Solitea vynaloží na posílení pozice na stávajících trzích a další expanzi. Jen za poslední rok realizovala Solitea čtyři velké akvizice IT firem a v roce 2022 má v plánu ve svých akvizičních aktivitách pokračovat. V současnosti holding působí v téměř deseti zemích. Obrat loni dosáhl až na 2,5 miliardy korun.</w:t>
      </w:r>
    </w:p>
    <w:p w14:paraId="0000000A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B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„Tento úspěšný prodej dobře vystihuje dlouhodobou investiční strategii Sandberg Capital. Úspěch spočívá v co nejefektivnějším rozložení portfolií, která pak fungují ve vzájemné synergii. A pak samozřejmě také schopnost pružně využít dobrou obchodní příležitost, jakmile se objeví. V průběhu našeho působení v JET ERP jsme díky skvělým zaměstnancům dokázali vybudovat stabilního poskytovatele podnikových informačních systémů s velmi dobrou reputací na rakouském a švýcasrkém trhu. Jsme velmi rádi, že na naši práci naváže gobální hráč Aptean, za kterým stojí ty nejrenomovanější globální private equity fondy,” říká k investici Michal Rybovič, partner Sandberg Capital, který je většinovým vlastníkem holdingu Solitea.</w:t>
      </w:r>
    </w:p>
    <w:p w14:paraId="0000000C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D" w14:textId="77777777" w:rsidR="000D6EA3" w:rsidRDefault="00C6091B">
      <w:pPr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O Solitei</w:t>
      </w:r>
    </w:p>
    <w:p w14:paraId="0000000E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0F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Solitea, a.s., patří mezi velké evropské dodavatele ICT řešení. Společnost zaměstnává přes 1400 zaměstnanců ze sedmi zemí světa a v rámci evropského </w:t>
      </w:r>
      <w:r>
        <w:rPr>
          <w:rFonts w:ascii="Verdana" w:eastAsia="Verdana" w:hAnsi="Verdana" w:cs="Verdana"/>
        </w:rPr>
        <w:lastRenderedPageBreak/>
        <w:t xml:space="preserve">regionu obsluhuje přes 260 000 zákazníků v 15 zemích. V letošním roce holding očekává výnosy přesahující 2,5 miliardy korun a dlouhodobě patří k nejrychleji rostoucím IT společnostem v regionu. V posledních čtyřech letech uskutečnila Solitea řadu významných akvizic IT společností v České a Slovenské republice. Solitea dlouhodobě posiluje svou pozici významného evropského dodavatele informačních technologií pro komerční subjekty i státní správu. Majoritními vlastníky holdingu Solitea jsou private equity fond Sandberg Capital a Martin Cígler. Více na </w:t>
      </w:r>
      <w:hyperlink r:id="rId9">
        <w:r>
          <w:rPr>
            <w:rFonts w:ascii="Verdana" w:eastAsia="Verdana" w:hAnsi="Verdana" w:cs="Verdana"/>
            <w:u w:val="single"/>
          </w:rPr>
          <w:t>www.solitea.com</w:t>
        </w:r>
      </w:hyperlink>
      <w:r>
        <w:rPr>
          <w:rFonts w:ascii="Verdana" w:eastAsia="Verdana" w:hAnsi="Verdana" w:cs="Verdana"/>
        </w:rPr>
        <w:t>.</w:t>
      </w:r>
    </w:p>
    <w:p w14:paraId="00000010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11" w14:textId="77777777" w:rsidR="000D6EA3" w:rsidRDefault="00C6091B">
      <w:pPr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O Sandberg Capital</w:t>
      </w:r>
    </w:p>
    <w:p w14:paraId="00000012" w14:textId="77777777" w:rsidR="000D6EA3" w:rsidRDefault="000D6EA3">
      <w:pPr>
        <w:jc w:val="both"/>
        <w:rPr>
          <w:rFonts w:ascii="Verdana" w:eastAsia="Verdana" w:hAnsi="Verdana" w:cs="Verdana"/>
        </w:rPr>
      </w:pPr>
    </w:p>
    <w:p w14:paraId="00000013" w14:textId="77777777" w:rsidR="000D6EA3" w:rsidRDefault="00C6091B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Sandberg Capital je správcovská společnost se sídlem na Slovensku. Zaměřuje se na investování do malých a středních podniků na Slovensku a v regionu střední a východní Evropy. V lednu 2021 Sandberg otevřel svůj druhý investiční fond. Vo svém prvním fondu spravuje Sandberg Capital aktiva v hodnotě přesahující 350 milionů EUR, a to v oblasti IT, telekomunikací, zemědělství, vzdělávání a maloobchodu.</w:t>
      </w:r>
    </w:p>
    <w:p w14:paraId="00000014" w14:textId="77777777" w:rsidR="000D6EA3" w:rsidRDefault="000D6EA3">
      <w:pPr>
        <w:jc w:val="both"/>
        <w:rPr>
          <w:rFonts w:ascii="Verdana" w:eastAsia="Verdana" w:hAnsi="Verdana" w:cs="Verdana"/>
        </w:rPr>
      </w:pPr>
    </w:p>
    <w:sectPr w:rsidR="000D6EA3" w:rsidSect="00404F8E">
      <w:headerReference w:type="default" r:id="rId10"/>
      <w:footerReference w:type="default" r:id="rId11"/>
      <w:pgSz w:w="11900" w:h="16840"/>
      <w:pgMar w:top="1418" w:right="1440" w:bottom="1440" w:left="1440" w:header="426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7D0A" w14:textId="77777777" w:rsidR="00E539D1" w:rsidRDefault="00C6091B">
      <w:pPr>
        <w:spacing w:line="240" w:lineRule="auto"/>
      </w:pPr>
      <w:r>
        <w:separator/>
      </w:r>
    </w:p>
  </w:endnote>
  <w:endnote w:type="continuationSeparator" w:id="0">
    <w:p w14:paraId="4247CFE0" w14:textId="77777777" w:rsidR="00E539D1" w:rsidRDefault="00C609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7777777" w:rsidR="000D6EA3" w:rsidRDefault="000D6EA3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A404A" w14:textId="77777777" w:rsidR="00E539D1" w:rsidRDefault="00C6091B">
      <w:pPr>
        <w:spacing w:line="240" w:lineRule="auto"/>
      </w:pPr>
      <w:r>
        <w:separator/>
      </w:r>
    </w:p>
  </w:footnote>
  <w:footnote w:type="continuationSeparator" w:id="0">
    <w:p w14:paraId="18E41BA4" w14:textId="77777777" w:rsidR="00E539D1" w:rsidRDefault="00C609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5" w14:textId="47EFD22E" w:rsidR="000D6EA3" w:rsidRDefault="001C4D0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line="240" w:lineRule="auto"/>
      <w:rPr>
        <w:rFonts w:ascii="Helvetica Neue" w:eastAsia="Helvetica Neue" w:hAnsi="Helvetica Neue" w:cs="Helvetica Neue"/>
        <w:sz w:val="24"/>
        <w:szCs w:val="24"/>
      </w:rPr>
    </w:pPr>
    <w:r>
      <w:rPr>
        <w:rFonts w:ascii="Helvetica Neue" w:eastAsia="Helvetica Neue" w:hAnsi="Helvetica Neue" w:cs="Helvetica Neue"/>
        <w:noProof/>
        <w:sz w:val="24"/>
        <w:szCs w:val="24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565F009B" wp14:editId="7D381182">
          <wp:extent cx="1663700" cy="493945"/>
          <wp:effectExtent l="0" t="0" r="0" b="1905"/>
          <wp:docPr id="14" name="Obrázok 14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ClipAr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701" cy="498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EA3"/>
    <w:rsid w:val="000D094C"/>
    <w:rsid w:val="000D6EA3"/>
    <w:rsid w:val="001C4D09"/>
    <w:rsid w:val="00404F8E"/>
    <w:rsid w:val="00602793"/>
    <w:rsid w:val="00A20289"/>
    <w:rsid w:val="00C6091B"/>
    <w:rsid w:val="00DD23E9"/>
    <w:rsid w:val="00E5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C7B452"/>
  <w15:docId w15:val="{48770085-629E-415A-81EF-15387699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dnA">
    <w:name w:val="Žádný A"/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Verdana" w:eastAsia="Verdana" w:hAnsi="Verdana" w:cs="Verdana"/>
      <w:b/>
      <w:bCs/>
      <w:outline w:val="0"/>
      <w:color w:val="1155CC"/>
      <w:u w:val="single" w:color="1155CC"/>
    </w:rPr>
  </w:style>
  <w:style w:type="paragraph" w:customStyle="1" w:styleId="Vchoz">
    <w:name w:val="Výchozí"/>
    <w:pPr>
      <w:spacing w:before="160"/>
    </w:pPr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dn"/>
    <w:rPr>
      <w:outline w:val="0"/>
      <w:color w:val="55BBBE"/>
      <w:u w:val="single" w:color="54BABE"/>
      <w:shd w:val="clear" w:color="auto" w:fill="FFFFFF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1C4D0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4D09"/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basedOn w:val="Normln"/>
    <w:link w:val="ZpatChar"/>
    <w:uiPriority w:val="99"/>
    <w:unhideWhenUsed/>
    <w:rsid w:val="001C4D0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4D09"/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tean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olitea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olite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G0xThPX8kGOz+ZSPABEQ/m+DgQ==">AMUW2mXpA1h0N0BJnJ076EL3QhSAypur1fR8jNcBB6ufOEsBMgUign18xObejhNtvNy0fhwlp6Se/7wlaZ87IHbQgeLtehdH+Kdn7QvTC3HViB7eyYooo00=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Raffayová Michaela</dc:creator>
  <cp:lastModifiedBy>Rychnovský Jan</cp:lastModifiedBy>
  <cp:revision>2</cp:revision>
  <dcterms:created xsi:type="dcterms:W3CDTF">2022-10-12T08:43:00Z</dcterms:created>
  <dcterms:modified xsi:type="dcterms:W3CDTF">2022-10-12T08:43:00Z</dcterms:modified>
</cp:coreProperties>
</file>