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9605" w14:textId="6DE7DF2B" w:rsidR="002A2C7F" w:rsidRPr="00DF09F8" w:rsidRDefault="002A2C7F" w:rsidP="004E173E">
      <w:pPr>
        <w:pStyle w:val="paragraph"/>
        <w:jc w:val="both"/>
        <w:textAlignment w:val="baseline"/>
        <w:rPr>
          <w:rFonts w:ascii="Calibri" w:eastAsia="Calibri" w:hAnsi="Calibri" w:cs="Calibri"/>
          <w:b/>
          <w:color w:val="0033A0"/>
          <w:sz w:val="36"/>
          <w:szCs w:val="36"/>
        </w:rPr>
      </w:pPr>
      <w:r w:rsidRPr="00DF09F8">
        <w:rPr>
          <w:rFonts w:ascii="Calibri" w:eastAsia="Calibri" w:hAnsi="Calibri" w:cs="Calibri"/>
          <w:b/>
          <w:color w:val="0033A0"/>
          <w:sz w:val="36"/>
          <w:szCs w:val="36"/>
        </w:rPr>
        <w:t xml:space="preserve">Solitea, ktorej majoritným vlastníkom je </w:t>
      </w:r>
      <w:proofErr w:type="spellStart"/>
      <w:r w:rsidRPr="00DF09F8">
        <w:rPr>
          <w:rFonts w:ascii="Calibri" w:eastAsia="Calibri" w:hAnsi="Calibri" w:cs="Calibri"/>
          <w:b/>
          <w:color w:val="0033A0"/>
          <w:sz w:val="36"/>
          <w:szCs w:val="36"/>
        </w:rPr>
        <w:t>Sandberg</w:t>
      </w:r>
      <w:proofErr w:type="spellEnd"/>
      <w:r w:rsidRPr="00DF09F8">
        <w:rPr>
          <w:rFonts w:ascii="Calibri" w:eastAsia="Calibri" w:hAnsi="Calibri" w:cs="Calibri"/>
          <w:b/>
          <w:color w:val="0033A0"/>
          <w:sz w:val="36"/>
          <w:szCs w:val="36"/>
        </w:rPr>
        <w:t xml:space="preserve"> </w:t>
      </w:r>
      <w:proofErr w:type="spellStart"/>
      <w:r w:rsidRPr="00DF09F8">
        <w:rPr>
          <w:rFonts w:ascii="Calibri" w:eastAsia="Calibri" w:hAnsi="Calibri" w:cs="Calibri"/>
          <w:b/>
          <w:color w:val="0033A0"/>
          <w:sz w:val="36"/>
          <w:szCs w:val="36"/>
        </w:rPr>
        <w:t>Capital</w:t>
      </w:r>
      <w:proofErr w:type="spellEnd"/>
      <w:r w:rsidRPr="00DF09F8">
        <w:rPr>
          <w:rFonts w:ascii="Calibri" w:eastAsia="Calibri" w:hAnsi="Calibri" w:cs="Calibri"/>
          <w:b/>
          <w:color w:val="0033A0"/>
          <w:sz w:val="36"/>
          <w:szCs w:val="36"/>
        </w:rPr>
        <w:t xml:space="preserve">, kupuje slovinského dodávateľa ERP systémov </w:t>
      </w:r>
      <w:proofErr w:type="spellStart"/>
      <w:r w:rsidRPr="00DF09F8">
        <w:rPr>
          <w:rFonts w:ascii="Calibri" w:eastAsia="Calibri" w:hAnsi="Calibri" w:cs="Calibri"/>
          <w:b/>
          <w:color w:val="0033A0"/>
          <w:sz w:val="36"/>
          <w:szCs w:val="36"/>
        </w:rPr>
        <w:t>Vasco</w:t>
      </w:r>
      <w:proofErr w:type="spellEnd"/>
      <w:r w:rsidRPr="00DF09F8">
        <w:rPr>
          <w:rFonts w:ascii="Calibri" w:eastAsia="Calibri" w:hAnsi="Calibri" w:cs="Calibri"/>
          <w:b/>
          <w:color w:val="0033A0"/>
          <w:sz w:val="36"/>
          <w:szCs w:val="36"/>
        </w:rPr>
        <w:t> </w:t>
      </w:r>
    </w:p>
    <w:p w14:paraId="4C4037E0" w14:textId="77777777" w:rsidR="002A2C7F" w:rsidRPr="00DF09F8" w:rsidRDefault="002A2C7F" w:rsidP="002A2C7F">
      <w:pPr>
        <w:pStyle w:val="paragraph"/>
        <w:textAlignment w:val="baseline"/>
      </w:pPr>
      <w:r w:rsidRPr="00DF09F8">
        <w:rPr>
          <w:rStyle w:val="spellingerror"/>
          <w:rFonts w:ascii="Calibri" w:hAnsi="Calibri" w:cs="Calibri"/>
          <w:sz w:val="22"/>
          <w:szCs w:val="22"/>
        </w:rPr>
        <w:t>Tlačová</w:t>
      </w:r>
      <w:r w:rsidRPr="00DF09F8">
        <w:rPr>
          <w:rStyle w:val="normaltextrun"/>
          <w:rFonts w:ascii="Calibri" w:hAnsi="Calibri" w:cs="Calibri"/>
          <w:sz w:val="22"/>
          <w:szCs w:val="22"/>
        </w:rPr>
        <w:t xml:space="preserve"> správa</w:t>
      </w:r>
      <w:r w:rsidRPr="00DF09F8">
        <w:rPr>
          <w:rStyle w:val="eop"/>
          <w:rFonts w:ascii="Calibri" w:hAnsi="Calibri" w:cs="Calibri"/>
          <w:sz w:val="22"/>
          <w:szCs w:val="22"/>
        </w:rPr>
        <w:t> </w:t>
      </w:r>
    </w:p>
    <w:p w14:paraId="2E3C04C4" w14:textId="630FE04D" w:rsidR="002A2C7F" w:rsidRPr="00DF09F8" w:rsidRDefault="002A2C7F" w:rsidP="002A2C7F">
      <w:pPr>
        <w:pStyle w:val="paragraph"/>
        <w:jc w:val="both"/>
        <w:textAlignment w:val="baseline"/>
        <w:rPr>
          <w:rFonts w:ascii="Arial" w:eastAsia="Arial" w:hAnsi="Arial" w:cs="Arial"/>
          <w:b/>
          <w:sz w:val="22"/>
          <w:szCs w:val="22"/>
        </w:rPr>
      </w:pPr>
      <w:r w:rsidRPr="00DF09F8">
        <w:rPr>
          <w:rFonts w:ascii="Arial" w:eastAsia="Arial" w:hAnsi="Arial" w:cs="Arial"/>
          <w:bCs/>
          <w:sz w:val="22"/>
          <w:szCs w:val="22"/>
        </w:rPr>
        <w:t>Bratislava, 28. júla</w:t>
      </w:r>
      <w:r w:rsidRPr="00DF09F8">
        <w:rPr>
          <w:rFonts w:ascii="Arial" w:eastAsia="Arial" w:hAnsi="Arial" w:cs="Arial"/>
          <w:b/>
          <w:sz w:val="22"/>
          <w:szCs w:val="22"/>
        </w:rPr>
        <w:t xml:space="preserve"> - </w:t>
      </w:r>
      <w:hyperlink r:id="rId7" w:tgtFrame="_blank" w:history="1">
        <w:r w:rsidRPr="00DF09F8">
          <w:rPr>
            <w:rFonts w:ascii="Arial" w:eastAsia="Arial" w:hAnsi="Arial" w:cs="Arial"/>
            <w:b/>
            <w:color w:val="2F5496" w:themeColor="accent1" w:themeShade="BF"/>
            <w:sz w:val="22"/>
            <w:szCs w:val="22"/>
            <w:u w:val="single"/>
          </w:rPr>
          <w:t>Solitea</w:t>
        </w:r>
      </w:hyperlink>
      <w:r w:rsidRPr="00DF09F8">
        <w:rPr>
          <w:rFonts w:ascii="Arial" w:eastAsia="Arial" w:hAnsi="Arial" w:cs="Arial"/>
          <w:b/>
          <w:sz w:val="22"/>
          <w:szCs w:val="22"/>
        </w:rPr>
        <w:t xml:space="preserve"> sa dohodla na akvizícii 100 % podielu slovinskej spoločnosti </w:t>
      </w:r>
      <w:hyperlink r:id="rId8" w:tgtFrame="_blank" w:history="1">
        <w:proofErr w:type="spellStart"/>
        <w:r w:rsidRPr="00DF09F8">
          <w:rPr>
            <w:rFonts w:ascii="Arial" w:eastAsia="Arial" w:hAnsi="Arial" w:cs="Arial"/>
            <w:b/>
            <w:color w:val="2F5496" w:themeColor="accent1" w:themeShade="BF"/>
            <w:sz w:val="22"/>
            <w:szCs w:val="22"/>
            <w:u w:val="single"/>
          </w:rPr>
          <w:t>Vasco</w:t>
        </w:r>
        <w:proofErr w:type="spellEnd"/>
      </w:hyperlink>
      <w:r w:rsidRPr="00DF09F8">
        <w:rPr>
          <w:rFonts w:ascii="Arial" w:eastAsia="Arial" w:hAnsi="Arial" w:cs="Arial"/>
          <w:b/>
          <w:sz w:val="22"/>
          <w:szCs w:val="22"/>
        </w:rPr>
        <w:t xml:space="preserve">, ktorá vyvíja a predáva podnikové IT systémy. </w:t>
      </w:r>
      <w:proofErr w:type="spellStart"/>
      <w:r w:rsidRPr="00DF09F8">
        <w:rPr>
          <w:rFonts w:ascii="Arial" w:eastAsia="Arial" w:hAnsi="Arial" w:cs="Arial"/>
          <w:b/>
          <w:sz w:val="22"/>
          <w:szCs w:val="22"/>
        </w:rPr>
        <w:t>Vasco</w:t>
      </w:r>
      <w:proofErr w:type="spellEnd"/>
      <w:r w:rsidRPr="00DF09F8">
        <w:rPr>
          <w:rFonts w:ascii="Arial" w:eastAsia="Arial" w:hAnsi="Arial" w:cs="Arial"/>
          <w:b/>
          <w:sz w:val="22"/>
          <w:szCs w:val="22"/>
        </w:rPr>
        <w:t xml:space="preserve"> bude spadať pod slovinskú spoločnosť SAOP, ktorú Solitea vlastní a v ktorej združuje firmy pôsobiace na chorvátskom, slovinskom a tiež srbskom trhu. Akvizícia </w:t>
      </w:r>
      <w:proofErr w:type="spellStart"/>
      <w:r w:rsidRPr="00DF09F8">
        <w:rPr>
          <w:rFonts w:ascii="Arial" w:eastAsia="Arial" w:hAnsi="Arial" w:cs="Arial"/>
          <w:b/>
          <w:sz w:val="22"/>
          <w:szCs w:val="22"/>
        </w:rPr>
        <w:t>Vasco</w:t>
      </w:r>
      <w:proofErr w:type="spellEnd"/>
      <w:r w:rsidRPr="00DF09F8">
        <w:rPr>
          <w:rFonts w:ascii="Arial" w:eastAsia="Arial" w:hAnsi="Arial" w:cs="Arial"/>
          <w:b/>
          <w:sz w:val="22"/>
          <w:szCs w:val="22"/>
        </w:rPr>
        <w:t xml:space="preserve"> predstavuje ďalšiu významnú expanziu československého kapitálu na Balkán.   </w:t>
      </w:r>
    </w:p>
    <w:p w14:paraId="5555F785" w14:textId="309967FB" w:rsidR="002A2C7F" w:rsidRPr="00DF09F8" w:rsidRDefault="002A2C7F" w:rsidP="002A2C7F">
      <w:pPr>
        <w:pStyle w:val="paragraph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DF09F8">
        <w:rPr>
          <w:rFonts w:ascii="Arial" w:eastAsia="Arial" w:hAnsi="Arial" w:cs="Arial"/>
          <w:sz w:val="22"/>
          <w:szCs w:val="22"/>
        </w:rPr>
        <w:t xml:space="preserve">Spoločnosť </w:t>
      </w:r>
      <w:proofErr w:type="spellStart"/>
      <w:r w:rsidRPr="00DF09F8">
        <w:rPr>
          <w:rFonts w:ascii="Arial" w:eastAsia="Arial" w:hAnsi="Arial" w:cs="Arial"/>
          <w:sz w:val="22"/>
          <w:szCs w:val="22"/>
        </w:rPr>
        <w:t>Vasco</w:t>
      </w:r>
      <w:proofErr w:type="spellEnd"/>
      <w:r w:rsidRPr="00DF09F8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DF09F8">
        <w:rPr>
          <w:rFonts w:ascii="Arial" w:eastAsia="Arial" w:hAnsi="Arial" w:cs="Arial"/>
          <w:sz w:val="22"/>
          <w:szCs w:val="22"/>
        </w:rPr>
        <w:t>računalniški</w:t>
      </w:r>
      <w:proofErr w:type="spellEnd"/>
      <w:r w:rsidRPr="00DF09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F09F8">
        <w:rPr>
          <w:rFonts w:ascii="Arial" w:eastAsia="Arial" w:hAnsi="Arial" w:cs="Arial"/>
          <w:sz w:val="22"/>
          <w:szCs w:val="22"/>
        </w:rPr>
        <w:t>inženiring</w:t>
      </w:r>
      <w:proofErr w:type="spellEnd"/>
      <w:r w:rsidRPr="00DF09F8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DF09F8">
        <w:rPr>
          <w:rFonts w:ascii="Arial" w:eastAsia="Arial" w:hAnsi="Arial" w:cs="Arial"/>
          <w:sz w:val="22"/>
          <w:szCs w:val="22"/>
        </w:rPr>
        <w:t>d.o.o</w:t>
      </w:r>
      <w:proofErr w:type="spellEnd"/>
      <w:r w:rsidRPr="00DF09F8">
        <w:rPr>
          <w:rFonts w:ascii="Arial" w:eastAsia="Arial" w:hAnsi="Arial" w:cs="Arial"/>
          <w:sz w:val="22"/>
          <w:szCs w:val="22"/>
        </w:rPr>
        <w:t xml:space="preserve">. sa zaoberá programovaním a predajom systémov a aplikácií na správu ľudských zdrojov, účtovníctva, maloobchod, veľkoobchod či archiváciu dokumentov. Spoločnosť založil v roku 1991 </w:t>
      </w:r>
      <w:proofErr w:type="spellStart"/>
      <w:r w:rsidRPr="00DF09F8">
        <w:rPr>
          <w:rFonts w:ascii="Arial" w:eastAsia="Arial" w:hAnsi="Arial" w:cs="Arial"/>
          <w:sz w:val="22"/>
          <w:szCs w:val="22"/>
        </w:rPr>
        <w:t>Tomaž</w:t>
      </w:r>
      <w:proofErr w:type="spellEnd"/>
      <w:r w:rsidRPr="00DF09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F09F8">
        <w:rPr>
          <w:rFonts w:ascii="Arial" w:eastAsia="Arial" w:hAnsi="Arial" w:cs="Arial"/>
          <w:sz w:val="22"/>
          <w:szCs w:val="22"/>
        </w:rPr>
        <w:t>Čebašek</w:t>
      </w:r>
      <w:proofErr w:type="spellEnd"/>
      <w:r w:rsidRPr="00DF09F8">
        <w:rPr>
          <w:rFonts w:ascii="Arial" w:eastAsia="Arial" w:hAnsi="Arial" w:cs="Arial"/>
          <w:sz w:val="22"/>
          <w:szCs w:val="22"/>
        </w:rPr>
        <w:t xml:space="preserve">, ktorý chcel v tom čase ponúknuť slovinským podnikateľom kvalitný softvér pre obchod a účtovníctvo. </w:t>
      </w:r>
      <w:proofErr w:type="spellStart"/>
      <w:r w:rsidRPr="00DF09F8">
        <w:rPr>
          <w:rFonts w:ascii="Arial" w:eastAsia="Arial" w:hAnsi="Arial" w:cs="Arial"/>
          <w:sz w:val="22"/>
          <w:szCs w:val="22"/>
        </w:rPr>
        <w:t>Vasco</w:t>
      </w:r>
      <w:proofErr w:type="spellEnd"/>
      <w:r w:rsidRPr="00DF09F8">
        <w:rPr>
          <w:rFonts w:ascii="Arial" w:eastAsia="Arial" w:hAnsi="Arial" w:cs="Arial"/>
          <w:sz w:val="22"/>
          <w:szCs w:val="22"/>
        </w:rPr>
        <w:t xml:space="preserve"> v súčasnosti patrí k významným hráčom na tamojšom trhu vo svojej oblasti a jeho IT riešenia využíva viac ako 4 200 klientov, najmä stredných a malých podnikov.   </w:t>
      </w:r>
    </w:p>
    <w:p w14:paraId="18709A12" w14:textId="750D1B59" w:rsidR="002A2C7F" w:rsidRPr="00DF09F8" w:rsidRDefault="002A2C7F" w:rsidP="002A2C7F">
      <w:pPr>
        <w:pStyle w:val="paragraph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DF09F8">
        <w:rPr>
          <w:rFonts w:ascii="Arial" w:eastAsia="Arial" w:hAnsi="Arial" w:cs="Arial"/>
          <w:sz w:val="22"/>
          <w:szCs w:val="22"/>
        </w:rPr>
        <w:t xml:space="preserve">Prvým spoločným projektom pre </w:t>
      </w:r>
      <w:proofErr w:type="spellStart"/>
      <w:r w:rsidRPr="00DF09F8">
        <w:rPr>
          <w:rFonts w:ascii="Arial" w:eastAsia="Arial" w:hAnsi="Arial" w:cs="Arial"/>
          <w:sz w:val="22"/>
          <w:szCs w:val="22"/>
        </w:rPr>
        <w:t>Saop</w:t>
      </w:r>
      <w:proofErr w:type="spellEnd"/>
      <w:r w:rsidRPr="00DF09F8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DF09F8">
        <w:rPr>
          <w:rFonts w:ascii="Arial" w:eastAsia="Arial" w:hAnsi="Arial" w:cs="Arial"/>
          <w:sz w:val="22"/>
          <w:szCs w:val="22"/>
        </w:rPr>
        <w:t>Vasco</w:t>
      </w:r>
      <w:proofErr w:type="spellEnd"/>
      <w:r w:rsidRPr="00DF09F8">
        <w:rPr>
          <w:rFonts w:ascii="Arial" w:eastAsia="Arial" w:hAnsi="Arial" w:cs="Arial"/>
          <w:sz w:val="22"/>
          <w:szCs w:val="22"/>
        </w:rPr>
        <w:t xml:space="preserve"> bude vývoj nového POS (Point of </w:t>
      </w:r>
      <w:proofErr w:type="spellStart"/>
      <w:r w:rsidRPr="00DF09F8">
        <w:rPr>
          <w:rFonts w:ascii="Arial" w:eastAsia="Arial" w:hAnsi="Arial" w:cs="Arial"/>
          <w:sz w:val="22"/>
          <w:szCs w:val="22"/>
        </w:rPr>
        <w:t>Sales</w:t>
      </w:r>
      <w:proofErr w:type="spellEnd"/>
      <w:r w:rsidRPr="00DF09F8">
        <w:rPr>
          <w:rFonts w:ascii="Arial" w:eastAsia="Arial" w:hAnsi="Arial" w:cs="Arial"/>
          <w:sz w:val="22"/>
          <w:szCs w:val="22"/>
        </w:rPr>
        <w:t xml:space="preserve">) riešenia pre jednoduchú správu registračných pokladníc. „Spojením síl s </w:t>
      </w:r>
      <w:proofErr w:type="spellStart"/>
      <w:r w:rsidRPr="00DF09F8">
        <w:rPr>
          <w:rFonts w:ascii="Arial" w:eastAsia="Arial" w:hAnsi="Arial" w:cs="Arial"/>
          <w:sz w:val="22"/>
          <w:szCs w:val="22"/>
        </w:rPr>
        <w:t>Vascom</w:t>
      </w:r>
      <w:proofErr w:type="spellEnd"/>
      <w:r w:rsidRPr="00DF09F8">
        <w:rPr>
          <w:rFonts w:ascii="Arial" w:eastAsia="Arial" w:hAnsi="Arial" w:cs="Arial"/>
          <w:sz w:val="22"/>
          <w:szCs w:val="22"/>
        </w:rPr>
        <w:t xml:space="preserve"> získavame rozsiahle znalosti a vývojové kapacity. Spoločne chceme vybudovať najlepšie POS riešenie v regióne,“ hovorí generálna riaditeľka Petra </w:t>
      </w:r>
      <w:proofErr w:type="spellStart"/>
      <w:r w:rsidRPr="00DF09F8">
        <w:rPr>
          <w:rFonts w:ascii="Arial" w:eastAsia="Arial" w:hAnsi="Arial" w:cs="Arial"/>
          <w:sz w:val="22"/>
          <w:szCs w:val="22"/>
        </w:rPr>
        <w:t>Šinigoj</w:t>
      </w:r>
      <w:proofErr w:type="spellEnd"/>
      <w:r w:rsidRPr="00DF09F8">
        <w:rPr>
          <w:rFonts w:ascii="Arial" w:eastAsia="Arial" w:hAnsi="Arial" w:cs="Arial"/>
          <w:sz w:val="22"/>
          <w:szCs w:val="22"/>
        </w:rPr>
        <w:t xml:space="preserve">. „V strednodobom horizonte chceme tiež naše spoločné skúsenosti a kapacity využiť na to, aby sme sa stali najlepšími vývojármi a poskytovateľmi inteligentných cloudových riešení,“ dodáva </w:t>
      </w:r>
      <w:proofErr w:type="spellStart"/>
      <w:r w:rsidRPr="00DF09F8">
        <w:rPr>
          <w:rFonts w:ascii="Arial" w:eastAsia="Arial" w:hAnsi="Arial" w:cs="Arial"/>
          <w:sz w:val="22"/>
          <w:szCs w:val="22"/>
        </w:rPr>
        <w:t>Šinigoj</w:t>
      </w:r>
      <w:proofErr w:type="spellEnd"/>
      <w:r w:rsidRPr="00DF09F8">
        <w:rPr>
          <w:rFonts w:ascii="Arial" w:eastAsia="Arial" w:hAnsi="Arial" w:cs="Arial"/>
          <w:sz w:val="22"/>
          <w:szCs w:val="22"/>
        </w:rPr>
        <w:t>.   </w:t>
      </w:r>
    </w:p>
    <w:p w14:paraId="73C16225" w14:textId="4C8B005B" w:rsidR="002A2C7F" w:rsidRPr="00DF09F8" w:rsidRDefault="002A2C7F" w:rsidP="002A2C7F">
      <w:pPr>
        <w:pStyle w:val="paragraph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DF09F8">
        <w:rPr>
          <w:rFonts w:ascii="Arial" w:eastAsia="Arial" w:hAnsi="Arial" w:cs="Arial"/>
          <w:sz w:val="22"/>
          <w:szCs w:val="22"/>
        </w:rPr>
        <w:t xml:space="preserve">Mimochodom, len na jar tohto roka začlenila Solitea do svojho portfólia aj dve slovenské spoločnosti, ktoré sa zaoberajú vývojom online platobných riešení – </w:t>
      </w:r>
      <w:proofErr w:type="spellStart"/>
      <w:r w:rsidRPr="00DF09F8">
        <w:rPr>
          <w:rFonts w:ascii="Arial" w:eastAsia="Arial" w:hAnsi="Arial" w:cs="Arial"/>
          <w:sz w:val="22"/>
          <w:szCs w:val="22"/>
        </w:rPr>
        <w:t>Pay</w:t>
      </w:r>
      <w:proofErr w:type="spellEnd"/>
      <w:r w:rsidRPr="00DF09F8">
        <w:rPr>
          <w:rFonts w:ascii="Arial" w:eastAsia="Arial" w:hAnsi="Arial" w:cs="Arial"/>
          <w:sz w:val="22"/>
          <w:szCs w:val="22"/>
        </w:rPr>
        <w:t xml:space="preserve"> Solutions a </w:t>
      </w:r>
      <w:proofErr w:type="spellStart"/>
      <w:r w:rsidRPr="00DF09F8">
        <w:rPr>
          <w:rFonts w:ascii="Arial" w:eastAsia="Arial" w:hAnsi="Arial" w:cs="Arial"/>
          <w:sz w:val="22"/>
          <w:szCs w:val="22"/>
        </w:rPr>
        <w:t>Tapeon</w:t>
      </w:r>
      <w:proofErr w:type="spellEnd"/>
      <w:r w:rsidRPr="00DF09F8">
        <w:rPr>
          <w:rFonts w:ascii="Arial" w:eastAsia="Arial" w:hAnsi="Arial" w:cs="Arial"/>
          <w:sz w:val="22"/>
          <w:szCs w:val="22"/>
        </w:rPr>
        <w:t xml:space="preserve"> operujúce na slovenskom, českom a slovinskom trhu. Víziou firmy je vývoj a následná expanzia slovenskej technológie do regiónu CEE.   </w:t>
      </w:r>
    </w:p>
    <w:p w14:paraId="7560F761" w14:textId="1CD6F9EF" w:rsidR="002A2C7F" w:rsidRPr="00DF09F8" w:rsidRDefault="002A2C7F" w:rsidP="00060423">
      <w:pPr>
        <w:pStyle w:val="paragraph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DF09F8">
        <w:rPr>
          <w:rFonts w:ascii="Arial" w:eastAsia="Arial" w:hAnsi="Arial" w:cs="Arial"/>
          <w:sz w:val="22"/>
          <w:szCs w:val="22"/>
        </w:rPr>
        <w:t>Solitea patrí v oblasti strednej a východnej Európy k najväčším dodávateľom účtovných a podnikových informačných systémov (ERP) určených pre komerčný segment aj pre štátne a neziskové organizácie. „Našou víziou je vytvoriť silného európskeho poskytovateľa IT riešení. Sme si vedomí toho, že len vďaka spájaniu silných tímov budeme môcť pokračovať v poskytovaní prvotriednych riešení a vynikajúcej používateľskej podpory,” hovorí predseda predstavenstva spoločnosti Solitea Martin Cígler.   </w:t>
      </w:r>
    </w:p>
    <w:p w14:paraId="143C0601" w14:textId="4CFC4D58" w:rsidR="002A2C7F" w:rsidRPr="00DF09F8" w:rsidRDefault="002A2C7F" w:rsidP="002A2C7F">
      <w:pPr>
        <w:pStyle w:val="paragraph"/>
        <w:textAlignment w:val="baseline"/>
        <w:rPr>
          <w:rFonts w:ascii="Arial" w:eastAsia="Arial" w:hAnsi="Arial" w:cs="Arial"/>
          <w:sz w:val="22"/>
          <w:szCs w:val="22"/>
        </w:rPr>
      </w:pPr>
      <w:r w:rsidRPr="00DF09F8">
        <w:rPr>
          <w:rFonts w:ascii="Arial" w:eastAsia="Arial" w:hAnsi="Arial" w:cs="Arial"/>
          <w:sz w:val="22"/>
          <w:szCs w:val="22"/>
        </w:rPr>
        <w:t xml:space="preserve">Solitea vstúpila na Balkán v roku 2016 práve prostredníctvom kúpy spoločnosti </w:t>
      </w:r>
      <w:proofErr w:type="spellStart"/>
      <w:r w:rsidRPr="00DF09F8">
        <w:rPr>
          <w:rFonts w:ascii="Arial" w:eastAsia="Arial" w:hAnsi="Arial" w:cs="Arial"/>
          <w:sz w:val="22"/>
          <w:szCs w:val="22"/>
        </w:rPr>
        <w:t>Saop</w:t>
      </w:r>
      <w:proofErr w:type="spellEnd"/>
      <w:r w:rsidRPr="00DF09F8">
        <w:rPr>
          <w:rFonts w:ascii="Arial" w:eastAsia="Arial" w:hAnsi="Arial" w:cs="Arial"/>
          <w:sz w:val="22"/>
          <w:szCs w:val="22"/>
        </w:rPr>
        <w:t xml:space="preserve">, pod ktorú dodnes začlenila 5 </w:t>
      </w:r>
      <w:proofErr w:type="spellStart"/>
      <w:r w:rsidRPr="00DF09F8">
        <w:rPr>
          <w:rFonts w:ascii="Arial" w:eastAsia="Arial" w:hAnsi="Arial" w:cs="Arial"/>
          <w:sz w:val="22"/>
          <w:szCs w:val="22"/>
        </w:rPr>
        <w:t>akvirovaných</w:t>
      </w:r>
      <w:proofErr w:type="spellEnd"/>
      <w:r w:rsidRPr="00DF09F8">
        <w:rPr>
          <w:rFonts w:ascii="Arial" w:eastAsia="Arial" w:hAnsi="Arial" w:cs="Arial"/>
          <w:sz w:val="22"/>
          <w:szCs w:val="22"/>
        </w:rPr>
        <w:t xml:space="preserve"> firiem na tamojšom trhu. Kúpou </w:t>
      </w:r>
      <w:proofErr w:type="spellStart"/>
      <w:r w:rsidRPr="00DF09F8">
        <w:rPr>
          <w:rFonts w:ascii="Arial" w:eastAsia="Arial" w:hAnsi="Arial" w:cs="Arial"/>
          <w:sz w:val="22"/>
          <w:szCs w:val="22"/>
        </w:rPr>
        <w:t>Vasca</w:t>
      </w:r>
      <w:proofErr w:type="spellEnd"/>
      <w:r w:rsidRPr="00DF09F8">
        <w:rPr>
          <w:rFonts w:ascii="Arial" w:eastAsia="Arial" w:hAnsi="Arial" w:cs="Arial"/>
          <w:sz w:val="22"/>
          <w:szCs w:val="22"/>
        </w:rPr>
        <w:t xml:space="preserve"> sa pozícia Solitea a jej majoritného vlastníka, slovenskej </w:t>
      </w:r>
      <w:proofErr w:type="spellStart"/>
      <w:r w:rsidRPr="00DF09F8">
        <w:rPr>
          <w:rFonts w:ascii="Arial" w:eastAsia="Arial" w:hAnsi="Arial" w:cs="Arial"/>
          <w:sz w:val="22"/>
          <w:szCs w:val="22"/>
        </w:rPr>
        <w:t>private</w:t>
      </w:r>
      <w:proofErr w:type="spellEnd"/>
      <w:r w:rsidRPr="00DF09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F09F8">
        <w:rPr>
          <w:rFonts w:ascii="Arial" w:eastAsia="Arial" w:hAnsi="Arial" w:cs="Arial"/>
          <w:sz w:val="22"/>
          <w:szCs w:val="22"/>
        </w:rPr>
        <w:t>equity</w:t>
      </w:r>
      <w:proofErr w:type="spellEnd"/>
      <w:r w:rsidRPr="00DF09F8">
        <w:rPr>
          <w:rFonts w:ascii="Arial" w:eastAsia="Arial" w:hAnsi="Arial" w:cs="Arial"/>
          <w:sz w:val="22"/>
          <w:szCs w:val="22"/>
        </w:rPr>
        <w:t xml:space="preserve"> spoločnosti </w:t>
      </w:r>
      <w:proofErr w:type="spellStart"/>
      <w:r w:rsidRPr="00DF09F8">
        <w:rPr>
          <w:rFonts w:ascii="Arial" w:eastAsia="Arial" w:hAnsi="Arial" w:cs="Arial"/>
          <w:sz w:val="22"/>
          <w:szCs w:val="22"/>
        </w:rPr>
        <w:t>Sandberg</w:t>
      </w:r>
      <w:proofErr w:type="spellEnd"/>
      <w:r w:rsidRPr="00DF09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F09F8">
        <w:rPr>
          <w:rFonts w:ascii="Arial" w:eastAsia="Arial" w:hAnsi="Arial" w:cs="Arial"/>
          <w:sz w:val="22"/>
          <w:szCs w:val="22"/>
        </w:rPr>
        <w:t>Capital</w:t>
      </w:r>
      <w:proofErr w:type="spellEnd"/>
      <w:r w:rsidRPr="00DF09F8">
        <w:rPr>
          <w:rFonts w:ascii="Arial" w:eastAsia="Arial" w:hAnsi="Arial" w:cs="Arial"/>
          <w:sz w:val="22"/>
          <w:szCs w:val="22"/>
        </w:rPr>
        <w:t xml:space="preserve">, vo východnej Európe ešte viac posilní. „Balkán dlhodobo považujeme za veľmi potenciálny trh, ktorý bude v najbližších rokoch dynamicky rásť. Aj z toho dôvodu na tieto trhy sústredíme kroky viacerých našich portfóliových firiem, ako je </w:t>
      </w:r>
      <w:proofErr w:type="spellStart"/>
      <w:r w:rsidRPr="00DF09F8">
        <w:rPr>
          <w:rFonts w:ascii="Arial" w:eastAsia="Arial" w:hAnsi="Arial" w:cs="Arial"/>
          <w:sz w:val="22"/>
          <w:szCs w:val="22"/>
        </w:rPr>
        <w:t>Daktela</w:t>
      </w:r>
      <w:proofErr w:type="spellEnd"/>
      <w:r w:rsidRPr="00DF09F8">
        <w:rPr>
          <w:rFonts w:ascii="Arial" w:eastAsia="Arial" w:hAnsi="Arial" w:cs="Arial"/>
          <w:sz w:val="22"/>
          <w:szCs w:val="22"/>
        </w:rPr>
        <w:t xml:space="preserve"> či </w:t>
      </w:r>
      <w:proofErr w:type="spellStart"/>
      <w:r w:rsidRPr="00DF09F8">
        <w:rPr>
          <w:rFonts w:ascii="Arial" w:eastAsia="Arial" w:hAnsi="Arial" w:cs="Arial"/>
          <w:sz w:val="22"/>
          <w:szCs w:val="22"/>
        </w:rPr>
        <w:t>Webglobe</w:t>
      </w:r>
      <w:proofErr w:type="spellEnd"/>
      <w:r w:rsidRPr="00DF09F8">
        <w:rPr>
          <w:rFonts w:ascii="Arial" w:eastAsia="Arial" w:hAnsi="Arial" w:cs="Arial"/>
          <w:sz w:val="22"/>
          <w:szCs w:val="22"/>
        </w:rPr>
        <w:t xml:space="preserve">,“ uviedol partner </w:t>
      </w:r>
      <w:proofErr w:type="spellStart"/>
      <w:r w:rsidRPr="00DF09F8">
        <w:rPr>
          <w:rFonts w:ascii="Arial" w:eastAsia="Arial" w:hAnsi="Arial" w:cs="Arial"/>
          <w:sz w:val="22"/>
          <w:szCs w:val="22"/>
        </w:rPr>
        <w:t>Sandberg</w:t>
      </w:r>
      <w:proofErr w:type="spellEnd"/>
      <w:r w:rsidRPr="00DF09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F09F8">
        <w:rPr>
          <w:rFonts w:ascii="Arial" w:eastAsia="Arial" w:hAnsi="Arial" w:cs="Arial"/>
          <w:sz w:val="22"/>
          <w:szCs w:val="22"/>
        </w:rPr>
        <w:t>Capital</w:t>
      </w:r>
      <w:proofErr w:type="spellEnd"/>
      <w:r w:rsidRPr="00DF09F8">
        <w:rPr>
          <w:rFonts w:ascii="Arial" w:eastAsia="Arial" w:hAnsi="Arial" w:cs="Arial"/>
          <w:sz w:val="22"/>
          <w:szCs w:val="22"/>
        </w:rPr>
        <w:t xml:space="preserve"> Michal Rybovič. Dodáva, že dopyt po kvalitných službách tu medziročne rastie v desiatkach percent.   </w:t>
      </w:r>
    </w:p>
    <w:p w14:paraId="5DBF07C3" w14:textId="77777777" w:rsidR="002A2C7F" w:rsidRPr="00DF09F8" w:rsidRDefault="002A2C7F" w:rsidP="002A2C7F">
      <w:pPr>
        <w:pStyle w:val="paragraph"/>
        <w:textAlignment w:val="baseline"/>
        <w:rPr>
          <w:rFonts w:ascii="Arial" w:eastAsia="Arial" w:hAnsi="Arial" w:cs="Arial"/>
          <w:sz w:val="22"/>
          <w:szCs w:val="22"/>
        </w:rPr>
      </w:pPr>
      <w:r w:rsidRPr="00DF09F8">
        <w:rPr>
          <w:rFonts w:ascii="Arial" w:eastAsia="Arial" w:hAnsi="Arial" w:cs="Arial"/>
        </w:rPr>
        <w:t xml:space="preserve">Podľa spoločnosti </w:t>
      </w:r>
      <w:proofErr w:type="spellStart"/>
      <w:r w:rsidRPr="00DF09F8">
        <w:rPr>
          <w:rFonts w:ascii="Arial" w:eastAsia="Arial" w:hAnsi="Arial" w:cs="Arial"/>
        </w:rPr>
        <w:t>Saop</w:t>
      </w:r>
      <w:proofErr w:type="spellEnd"/>
      <w:r w:rsidRPr="00DF09F8">
        <w:rPr>
          <w:rFonts w:ascii="Arial" w:eastAsia="Arial" w:hAnsi="Arial" w:cs="Arial"/>
        </w:rPr>
        <w:t xml:space="preserve"> sa akvizícia nijako nedotkne klientov či zamestnancov spoločnosti </w:t>
      </w:r>
      <w:proofErr w:type="spellStart"/>
      <w:r w:rsidRPr="00DF09F8">
        <w:rPr>
          <w:rFonts w:ascii="Arial" w:eastAsia="Arial" w:hAnsi="Arial" w:cs="Arial"/>
        </w:rPr>
        <w:t>Vasco</w:t>
      </w:r>
      <w:proofErr w:type="spellEnd"/>
      <w:r w:rsidRPr="00DF09F8">
        <w:rPr>
          <w:rFonts w:ascii="Arial" w:eastAsia="Arial" w:hAnsi="Arial" w:cs="Arial"/>
        </w:rPr>
        <w:t xml:space="preserve">, ktorá bude aj naďalej riadená súčasným výkonným vedením. </w:t>
      </w:r>
      <w:r w:rsidRPr="00DF09F8">
        <w:rPr>
          <w:rFonts w:ascii="Arial" w:eastAsia="Arial" w:hAnsi="Arial" w:cs="Arial"/>
          <w:sz w:val="22"/>
          <w:szCs w:val="22"/>
        </w:rPr>
        <w:t>Transakcia podlieha schváleniu českého Úradu na ochranu hospodárskej súťaže (ÚOHS) a jeho slovinského náprotivku. </w:t>
      </w:r>
    </w:p>
    <w:p w14:paraId="0499B4E9" w14:textId="77777777" w:rsidR="002A2C7F" w:rsidRPr="00DF09F8" w:rsidRDefault="002A2C7F" w:rsidP="002A2C7F">
      <w:pPr>
        <w:pStyle w:val="paragraph"/>
        <w:textAlignment w:val="baseline"/>
        <w:rPr>
          <w:rFonts w:ascii="Arial" w:eastAsia="Arial" w:hAnsi="Arial" w:cs="Arial"/>
          <w:sz w:val="22"/>
          <w:szCs w:val="22"/>
        </w:rPr>
      </w:pPr>
      <w:r w:rsidRPr="00DF09F8">
        <w:rPr>
          <w:rFonts w:ascii="Arial" w:eastAsia="Arial" w:hAnsi="Arial" w:cs="Arial"/>
          <w:sz w:val="22"/>
          <w:szCs w:val="22"/>
        </w:rPr>
        <w:t>  </w:t>
      </w:r>
    </w:p>
    <w:p w14:paraId="17BE05CB" w14:textId="77777777" w:rsidR="002A2C7F" w:rsidRPr="00DF09F8" w:rsidRDefault="002A2C7F" w:rsidP="002A2C7F">
      <w:pPr>
        <w:pStyle w:val="paragraph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  <w:r w:rsidRPr="00DF09F8">
        <w:rPr>
          <w:rFonts w:ascii="Arial" w:eastAsia="Arial" w:hAnsi="Arial" w:cs="Arial"/>
          <w:b/>
          <w:bCs/>
        </w:rPr>
        <w:lastRenderedPageBreak/>
        <w:t>O spoločnosti Solitea </w:t>
      </w:r>
    </w:p>
    <w:p w14:paraId="0D305EDC" w14:textId="1ACF23CA" w:rsidR="002A2C7F" w:rsidRPr="00DF09F8" w:rsidRDefault="002A2C7F" w:rsidP="002A2C7F">
      <w:pPr>
        <w:pStyle w:val="paragraph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DF09F8">
        <w:rPr>
          <w:rFonts w:ascii="Arial" w:eastAsia="Arial" w:hAnsi="Arial" w:cs="Arial"/>
        </w:rPr>
        <w:t>Solitea, a. s., sa radí k veľkým európskym dodávateľom ICT riešení. Spoločnosť má cez 1 400 zamestnancov v 7 krajinách a celos</w:t>
      </w:r>
      <w:r w:rsidRPr="00DF09F8">
        <w:rPr>
          <w:rFonts w:ascii="Arial" w:eastAsia="Arial" w:hAnsi="Arial" w:cs="Arial"/>
          <w:sz w:val="22"/>
          <w:szCs w:val="22"/>
        </w:rPr>
        <w:t>vetovo obsluhuje viac ako 260 000 zákazníkov v 35 štátoch. Solitea dlhodobo patrí k najrýchlejšie rastúcim IT spoločnostiam v regióne, v roku 2022 očakáva konsolidované výnosy okolo 130 miliónov EUR.   </w:t>
      </w:r>
    </w:p>
    <w:p w14:paraId="13B3D84B" w14:textId="77777777" w:rsidR="002A2C7F" w:rsidRPr="00DF09F8" w:rsidRDefault="002A2C7F" w:rsidP="002A2C7F">
      <w:pPr>
        <w:pStyle w:val="paragraph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DF09F8">
        <w:rPr>
          <w:rFonts w:ascii="Arial" w:eastAsia="Arial" w:hAnsi="Arial" w:cs="Arial"/>
        </w:rPr>
        <w:t>Spoločnosť uskutočnila v posledných rokoch desiatky význ</w:t>
      </w:r>
      <w:r w:rsidRPr="00DF09F8">
        <w:rPr>
          <w:rFonts w:ascii="Arial" w:eastAsia="Arial" w:hAnsi="Arial" w:cs="Arial"/>
          <w:sz w:val="22"/>
          <w:szCs w:val="22"/>
        </w:rPr>
        <w:t xml:space="preserve">amných akvizícií IT spoločností v Českej aj Slovenskej republike (napríklad </w:t>
      </w:r>
      <w:proofErr w:type="spellStart"/>
      <w:r w:rsidRPr="00DF09F8">
        <w:rPr>
          <w:rFonts w:ascii="Arial" w:eastAsia="Arial" w:hAnsi="Arial" w:cs="Arial"/>
        </w:rPr>
        <w:t>Altus</w:t>
      </w:r>
      <w:proofErr w:type="spellEnd"/>
      <w:r w:rsidRPr="00DF09F8">
        <w:rPr>
          <w:rFonts w:ascii="Arial" w:eastAsia="Arial" w:hAnsi="Arial" w:cs="Arial"/>
        </w:rPr>
        <w:t xml:space="preserve"> software, </w:t>
      </w:r>
      <w:proofErr w:type="spellStart"/>
      <w:r w:rsidRPr="00DF09F8">
        <w:rPr>
          <w:rFonts w:ascii="Arial" w:eastAsia="Arial" w:hAnsi="Arial" w:cs="Arial"/>
        </w:rPr>
        <w:t>Aquasoft</w:t>
      </w:r>
      <w:proofErr w:type="spellEnd"/>
      <w:r w:rsidRPr="00DF09F8">
        <w:rPr>
          <w:rFonts w:ascii="Arial" w:eastAsia="Arial" w:hAnsi="Arial" w:cs="Arial"/>
        </w:rPr>
        <w:t xml:space="preserve">, </w:t>
      </w:r>
      <w:proofErr w:type="spellStart"/>
      <w:r w:rsidRPr="00DF09F8">
        <w:rPr>
          <w:rFonts w:ascii="Arial" w:eastAsia="Arial" w:hAnsi="Arial" w:cs="Arial"/>
        </w:rPr>
        <w:t>Axiom</w:t>
      </w:r>
      <w:proofErr w:type="spellEnd"/>
      <w:r w:rsidRPr="00DF09F8">
        <w:rPr>
          <w:rFonts w:ascii="Arial" w:eastAsia="Arial" w:hAnsi="Arial" w:cs="Arial"/>
        </w:rPr>
        <w:t xml:space="preserve">, BI </w:t>
      </w:r>
      <w:proofErr w:type="spellStart"/>
      <w:r w:rsidRPr="00DF09F8">
        <w:rPr>
          <w:rFonts w:ascii="Arial" w:eastAsia="Arial" w:hAnsi="Arial" w:cs="Arial"/>
        </w:rPr>
        <w:t>Experts</w:t>
      </w:r>
      <w:proofErr w:type="spellEnd"/>
      <w:r w:rsidRPr="00DF09F8">
        <w:rPr>
          <w:rFonts w:ascii="Arial" w:eastAsia="Arial" w:hAnsi="Arial" w:cs="Arial"/>
        </w:rPr>
        <w:t xml:space="preserve">, CDL SYSTEM, Cígler software, </w:t>
      </w:r>
      <w:proofErr w:type="spellStart"/>
      <w:r w:rsidRPr="00DF09F8">
        <w:rPr>
          <w:rFonts w:ascii="Arial" w:eastAsia="Arial" w:hAnsi="Arial" w:cs="Arial"/>
        </w:rPr>
        <w:t>Clever</w:t>
      </w:r>
      <w:proofErr w:type="spellEnd"/>
      <w:r w:rsidRPr="00DF09F8">
        <w:rPr>
          <w:rFonts w:ascii="Arial" w:eastAsia="Arial" w:hAnsi="Arial" w:cs="Arial"/>
        </w:rPr>
        <w:t xml:space="preserve"> </w:t>
      </w:r>
      <w:proofErr w:type="spellStart"/>
      <w:r w:rsidRPr="00DF09F8">
        <w:rPr>
          <w:rFonts w:ascii="Arial" w:eastAsia="Arial" w:hAnsi="Arial" w:cs="Arial"/>
        </w:rPr>
        <w:t>Decision</w:t>
      </w:r>
      <w:proofErr w:type="spellEnd"/>
      <w:r w:rsidRPr="00DF09F8">
        <w:rPr>
          <w:rFonts w:ascii="Arial" w:eastAsia="Arial" w:hAnsi="Arial" w:cs="Arial"/>
        </w:rPr>
        <w:t xml:space="preserve">, D3Soft, </w:t>
      </w:r>
      <w:proofErr w:type="spellStart"/>
      <w:r w:rsidRPr="00DF09F8">
        <w:rPr>
          <w:rFonts w:ascii="Arial" w:eastAsia="Arial" w:hAnsi="Arial" w:cs="Arial"/>
        </w:rPr>
        <w:t>Dotykačka</w:t>
      </w:r>
      <w:proofErr w:type="spellEnd"/>
      <w:r w:rsidRPr="00DF09F8">
        <w:rPr>
          <w:rFonts w:ascii="Arial" w:eastAsia="Arial" w:hAnsi="Arial" w:cs="Arial"/>
        </w:rPr>
        <w:t xml:space="preserve">, </w:t>
      </w:r>
      <w:proofErr w:type="spellStart"/>
      <w:r w:rsidRPr="00DF09F8">
        <w:rPr>
          <w:rFonts w:ascii="Arial" w:eastAsia="Arial" w:hAnsi="Arial" w:cs="Arial"/>
        </w:rPr>
        <w:t>Dynamica</w:t>
      </w:r>
      <w:proofErr w:type="spellEnd"/>
      <w:r w:rsidRPr="00DF09F8">
        <w:rPr>
          <w:rFonts w:ascii="Arial" w:eastAsia="Arial" w:hAnsi="Arial" w:cs="Arial"/>
        </w:rPr>
        <w:t xml:space="preserve">, GEMMA Systems, J.K.R., Mainstream, </w:t>
      </w:r>
      <w:proofErr w:type="spellStart"/>
      <w:r w:rsidRPr="00DF09F8">
        <w:rPr>
          <w:rFonts w:ascii="Arial" w:eastAsia="Arial" w:hAnsi="Arial" w:cs="Arial"/>
        </w:rPr>
        <w:t>Smart</w:t>
      </w:r>
      <w:proofErr w:type="spellEnd"/>
      <w:r w:rsidRPr="00DF09F8">
        <w:rPr>
          <w:rFonts w:ascii="Arial" w:eastAsia="Arial" w:hAnsi="Arial" w:cs="Arial"/>
        </w:rPr>
        <w:t xml:space="preserve"> software, </w:t>
      </w:r>
      <w:proofErr w:type="spellStart"/>
      <w:r w:rsidRPr="00DF09F8">
        <w:rPr>
          <w:rFonts w:ascii="Arial" w:eastAsia="Arial" w:hAnsi="Arial" w:cs="Arial"/>
        </w:rPr>
        <w:t>Techniserv</w:t>
      </w:r>
      <w:proofErr w:type="spellEnd"/>
      <w:r w:rsidRPr="00DF09F8">
        <w:rPr>
          <w:rFonts w:ascii="Arial" w:eastAsia="Arial" w:hAnsi="Arial" w:cs="Arial"/>
        </w:rPr>
        <w:t xml:space="preserve"> IT,</w:t>
      </w:r>
      <w:r w:rsidRPr="00DF09F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F09F8">
        <w:rPr>
          <w:rFonts w:ascii="Arial" w:eastAsia="Arial" w:hAnsi="Arial" w:cs="Arial"/>
        </w:rPr>
        <w:t>Vema</w:t>
      </w:r>
      <w:proofErr w:type="spellEnd"/>
      <w:r w:rsidRPr="00DF09F8">
        <w:rPr>
          <w:rFonts w:ascii="Arial" w:eastAsia="Arial" w:hAnsi="Arial" w:cs="Arial"/>
        </w:rPr>
        <w:t>, WBI) a tiež na Balkáne (</w:t>
      </w:r>
      <w:proofErr w:type="spellStart"/>
      <w:r w:rsidRPr="00DF09F8">
        <w:rPr>
          <w:rFonts w:ascii="Arial" w:eastAsia="Arial" w:hAnsi="Arial" w:cs="Arial"/>
        </w:rPr>
        <w:t>Billans</w:t>
      </w:r>
      <w:proofErr w:type="spellEnd"/>
      <w:r w:rsidRPr="00DF09F8">
        <w:rPr>
          <w:rFonts w:ascii="Arial" w:eastAsia="Arial" w:hAnsi="Arial" w:cs="Arial"/>
        </w:rPr>
        <w:t>, MIT Informatika, SAOP). </w:t>
      </w:r>
    </w:p>
    <w:p w14:paraId="6A0451E6" w14:textId="179CC691" w:rsidR="002A2C7F" w:rsidRPr="00DF09F8" w:rsidRDefault="002A2C7F" w:rsidP="002A2C7F">
      <w:pPr>
        <w:pStyle w:val="paragraph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DF09F8">
        <w:rPr>
          <w:rFonts w:ascii="Arial" w:eastAsia="Arial" w:hAnsi="Arial" w:cs="Arial"/>
        </w:rPr>
        <w:t xml:space="preserve">Solitea dlhodobo posilňuje svoju pozíciu významného európskeho dodávateľa informačných technológií pre komerčné subjekty aj štátnu správu. Majoritnými vlastníkmi spoločnosti je slovenská </w:t>
      </w:r>
      <w:proofErr w:type="spellStart"/>
      <w:r w:rsidRPr="00DF09F8">
        <w:rPr>
          <w:rFonts w:ascii="Arial" w:eastAsia="Arial" w:hAnsi="Arial" w:cs="Arial"/>
        </w:rPr>
        <w:t>private</w:t>
      </w:r>
      <w:proofErr w:type="spellEnd"/>
      <w:r w:rsidRPr="00DF09F8">
        <w:rPr>
          <w:rFonts w:ascii="Arial" w:eastAsia="Arial" w:hAnsi="Arial" w:cs="Arial"/>
        </w:rPr>
        <w:t xml:space="preserve"> </w:t>
      </w:r>
      <w:proofErr w:type="spellStart"/>
      <w:r w:rsidRPr="00DF09F8">
        <w:rPr>
          <w:rFonts w:ascii="Arial" w:eastAsia="Arial" w:hAnsi="Arial" w:cs="Arial"/>
        </w:rPr>
        <w:t>equity</w:t>
      </w:r>
      <w:proofErr w:type="spellEnd"/>
      <w:r w:rsidRPr="00DF09F8">
        <w:rPr>
          <w:rFonts w:ascii="Arial" w:eastAsia="Arial" w:hAnsi="Arial" w:cs="Arial"/>
        </w:rPr>
        <w:t xml:space="preserve"> spoločnosť </w:t>
      </w:r>
      <w:proofErr w:type="spellStart"/>
      <w:r w:rsidRPr="00DF09F8">
        <w:rPr>
          <w:rFonts w:ascii="Arial" w:eastAsia="Arial" w:hAnsi="Arial" w:cs="Arial"/>
        </w:rPr>
        <w:t>Sandberg</w:t>
      </w:r>
      <w:proofErr w:type="spellEnd"/>
      <w:r w:rsidRPr="00DF09F8">
        <w:rPr>
          <w:rFonts w:ascii="Arial" w:eastAsia="Arial" w:hAnsi="Arial" w:cs="Arial"/>
        </w:rPr>
        <w:t xml:space="preserve"> </w:t>
      </w:r>
      <w:proofErr w:type="spellStart"/>
      <w:r w:rsidRPr="00DF09F8">
        <w:rPr>
          <w:rFonts w:ascii="Arial" w:eastAsia="Arial" w:hAnsi="Arial" w:cs="Arial"/>
        </w:rPr>
        <w:t>Capital</w:t>
      </w:r>
      <w:proofErr w:type="spellEnd"/>
      <w:r w:rsidRPr="00DF09F8">
        <w:rPr>
          <w:rFonts w:ascii="Arial" w:eastAsia="Arial" w:hAnsi="Arial" w:cs="Arial"/>
        </w:rPr>
        <w:t xml:space="preserve"> a Martin Cígler. Viac na stránkach </w:t>
      </w:r>
      <w:hyperlink r:id="rId9" w:tgtFrame="_blank" w:history="1">
        <w:r w:rsidRPr="00DF09F8">
          <w:rPr>
            <w:rFonts w:ascii="Arial" w:eastAsia="Arial" w:hAnsi="Arial" w:cs="Arial"/>
            <w:color w:val="2F5496" w:themeColor="accent1" w:themeShade="BF"/>
            <w:u w:val="single"/>
          </w:rPr>
          <w:t>www.solitea.com</w:t>
        </w:r>
      </w:hyperlink>
      <w:r w:rsidRPr="00DF09F8">
        <w:rPr>
          <w:rFonts w:ascii="Arial" w:eastAsia="Arial" w:hAnsi="Arial" w:cs="Arial"/>
          <w:color w:val="2F5496" w:themeColor="accent1" w:themeShade="BF"/>
          <w:u w:val="single"/>
        </w:rPr>
        <w:t>.</w:t>
      </w:r>
      <w:r w:rsidRPr="00DF09F8">
        <w:rPr>
          <w:rFonts w:ascii="Arial" w:eastAsia="Arial" w:hAnsi="Arial" w:cs="Arial"/>
          <w:color w:val="2F5496" w:themeColor="accent1" w:themeShade="BF"/>
        </w:rPr>
        <w:t> </w:t>
      </w:r>
      <w:r w:rsidRPr="00DF09F8">
        <w:rPr>
          <w:rFonts w:ascii="Arial" w:eastAsia="Arial" w:hAnsi="Arial" w:cs="Arial"/>
          <w:sz w:val="22"/>
          <w:szCs w:val="22"/>
        </w:rPr>
        <w:t>  </w:t>
      </w:r>
    </w:p>
    <w:p w14:paraId="42C6D552" w14:textId="77777777" w:rsidR="002A2C7F" w:rsidRPr="00DF09F8" w:rsidRDefault="002A2C7F" w:rsidP="002A2C7F">
      <w:pPr>
        <w:pStyle w:val="paragraph"/>
        <w:jc w:val="both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  <w:r w:rsidRPr="00DF09F8">
        <w:rPr>
          <w:rFonts w:ascii="Arial" w:eastAsia="Arial" w:hAnsi="Arial" w:cs="Arial"/>
          <w:b/>
          <w:bCs/>
        </w:rPr>
        <w:t>O spoločnosti SAOP </w:t>
      </w:r>
    </w:p>
    <w:p w14:paraId="54F62DB7" w14:textId="747A5568" w:rsidR="002A2C7F" w:rsidRPr="00DF09F8" w:rsidRDefault="002A2C7F" w:rsidP="002A2C7F">
      <w:pPr>
        <w:pStyle w:val="paragraph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proofErr w:type="spellStart"/>
      <w:r w:rsidRPr="00DF09F8">
        <w:rPr>
          <w:rFonts w:ascii="Arial" w:eastAsia="Arial" w:hAnsi="Arial" w:cs="Arial"/>
        </w:rPr>
        <w:t>Saop</w:t>
      </w:r>
      <w:proofErr w:type="spellEnd"/>
      <w:r w:rsidRPr="00DF09F8">
        <w:rPr>
          <w:rFonts w:ascii="Arial" w:eastAsia="Arial" w:hAnsi="Arial" w:cs="Arial"/>
        </w:rPr>
        <w:t xml:space="preserve"> je jedným z popredných slovinských poskytovateľov podnikových informačných systémov pre súkromný sektor, vrátane účtovných, obchodných a výrobných podnikov, a tiež verejné inštitúcie. Firma bola založená v roku 1987 a ide o jednu z prvých spoločností ponúkajúcich svoj vlastný podnikový systém </w:t>
      </w:r>
      <w:proofErr w:type="spellStart"/>
      <w:r w:rsidRPr="00DF09F8">
        <w:rPr>
          <w:rFonts w:ascii="Arial" w:eastAsia="Arial" w:hAnsi="Arial" w:cs="Arial"/>
        </w:rPr>
        <w:t>iCenter</w:t>
      </w:r>
      <w:proofErr w:type="spellEnd"/>
      <w:r w:rsidRPr="00DF09F8">
        <w:rPr>
          <w:rFonts w:ascii="Arial" w:eastAsia="Arial" w:hAnsi="Arial" w:cs="Arial"/>
        </w:rPr>
        <w:t>. Jedná sa o výkonné ERP riešenie navrhnuté na zvyšovanie efektivity</w:t>
      </w:r>
      <w:r w:rsidRPr="00DF09F8">
        <w:rPr>
          <w:rFonts w:ascii="Arial" w:eastAsia="Arial" w:hAnsi="Arial" w:cs="Arial"/>
          <w:sz w:val="22"/>
          <w:szCs w:val="22"/>
        </w:rPr>
        <w:t xml:space="preserve"> zložitých firemných procesov v malých a stredných podnikoch a verejných inštitúciách.   </w:t>
      </w:r>
    </w:p>
    <w:p w14:paraId="7E91D110" w14:textId="142B617B" w:rsidR="002A2C7F" w:rsidRPr="00DF09F8" w:rsidRDefault="002A2C7F" w:rsidP="002A2C7F">
      <w:pPr>
        <w:pStyle w:val="paragraph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DF09F8">
        <w:rPr>
          <w:rFonts w:ascii="Arial" w:eastAsia="Arial" w:hAnsi="Arial" w:cs="Arial"/>
        </w:rPr>
        <w:t xml:space="preserve">V roku 2004 </w:t>
      </w:r>
      <w:proofErr w:type="spellStart"/>
      <w:r w:rsidRPr="00DF09F8">
        <w:rPr>
          <w:rFonts w:ascii="Arial" w:eastAsia="Arial" w:hAnsi="Arial" w:cs="Arial"/>
        </w:rPr>
        <w:t>Saop</w:t>
      </w:r>
      <w:proofErr w:type="spellEnd"/>
      <w:r w:rsidRPr="00DF09F8">
        <w:rPr>
          <w:rFonts w:ascii="Arial" w:eastAsia="Arial" w:hAnsi="Arial" w:cs="Arial"/>
        </w:rPr>
        <w:t xml:space="preserve"> zahájil vývoj cloudového riešenia </w:t>
      </w:r>
      <w:proofErr w:type="spellStart"/>
      <w:r w:rsidRPr="00DF09F8">
        <w:rPr>
          <w:rFonts w:ascii="Arial" w:eastAsia="Arial" w:hAnsi="Arial" w:cs="Arial"/>
        </w:rPr>
        <w:t>Minimax</w:t>
      </w:r>
      <w:proofErr w:type="spellEnd"/>
      <w:r w:rsidRPr="00DF09F8">
        <w:rPr>
          <w:rFonts w:ascii="Arial" w:eastAsia="Arial" w:hAnsi="Arial" w:cs="Arial"/>
        </w:rPr>
        <w:t xml:space="preserve">, ktorý v súčasnosti predstavuje popredný účtovný software na slovinskom trhu, ktorý pomáha obchodníkom, konzultantom aj účtovníkom. V roku 2016 sa </w:t>
      </w:r>
      <w:proofErr w:type="spellStart"/>
      <w:r w:rsidRPr="00DF09F8">
        <w:rPr>
          <w:rFonts w:ascii="Arial" w:eastAsia="Arial" w:hAnsi="Arial" w:cs="Arial"/>
        </w:rPr>
        <w:t>Saop</w:t>
      </w:r>
      <w:proofErr w:type="spellEnd"/>
      <w:r w:rsidRPr="00DF09F8">
        <w:rPr>
          <w:rFonts w:ascii="Arial" w:eastAsia="Arial" w:hAnsi="Arial" w:cs="Arial"/>
        </w:rPr>
        <w:t xml:space="preserve"> stal členom skupiny Solitea Group, a v posledných rokoch vykonal akviz</w:t>
      </w:r>
      <w:r w:rsidRPr="00DF09F8">
        <w:rPr>
          <w:rFonts w:ascii="Arial" w:eastAsia="Arial" w:hAnsi="Arial" w:cs="Arial"/>
          <w:sz w:val="22"/>
          <w:szCs w:val="22"/>
        </w:rPr>
        <w:t xml:space="preserve">ície spoločností MIT Informatika (2019) a Opal informatika (2020). V súčasnosti </w:t>
      </w:r>
      <w:proofErr w:type="spellStart"/>
      <w:r w:rsidRPr="00DF09F8">
        <w:rPr>
          <w:rFonts w:ascii="Arial" w:eastAsia="Arial" w:hAnsi="Arial" w:cs="Arial"/>
        </w:rPr>
        <w:t>Saop</w:t>
      </w:r>
      <w:proofErr w:type="spellEnd"/>
      <w:r w:rsidRPr="00DF09F8">
        <w:rPr>
          <w:rFonts w:ascii="Arial" w:eastAsia="Arial" w:hAnsi="Arial" w:cs="Arial"/>
        </w:rPr>
        <w:t>, ktorej súčasťou je niekoľko dcérskych spoločností v Chorvátsku a Srbsku, zamestnáva viac ako 250 expertov. </w:t>
      </w:r>
      <w:r w:rsidRPr="00DF09F8">
        <w:rPr>
          <w:rFonts w:ascii="Arial" w:eastAsia="Arial" w:hAnsi="Arial" w:cs="Arial"/>
          <w:sz w:val="22"/>
          <w:szCs w:val="22"/>
        </w:rPr>
        <w:t>  </w:t>
      </w:r>
    </w:p>
    <w:p w14:paraId="3B0E5DE2" w14:textId="77777777" w:rsidR="002A2C7F" w:rsidRPr="00DF09F8" w:rsidRDefault="002A2C7F" w:rsidP="002A2C7F">
      <w:pPr>
        <w:pStyle w:val="paragraph"/>
        <w:jc w:val="both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  <w:r w:rsidRPr="00DF09F8">
        <w:rPr>
          <w:rFonts w:ascii="Arial" w:eastAsia="Arial" w:hAnsi="Arial" w:cs="Arial"/>
          <w:b/>
          <w:bCs/>
        </w:rPr>
        <w:t>O spoločnosti SANDBERG CAPITAL </w:t>
      </w:r>
    </w:p>
    <w:p w14:paraId="31347674" w14:textId="54E8FF42" w:rsidR="002A2C7F" w:rsidRPr="00DF09F8" w:rsidRDefault="002A2C7F" w:rsidP="002A2C7F">
      <w:pPr>
        <w:pStyle w:val="paragraph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proofErr w:type="spellStart"/>
      <w:r w:rsidRPr="00DF09F8">
        <w:rPr>
          <w:rFonts w:ascii="Arial" w:eastAsia="Arial" w:hAnsi="Arial" w:cs="Arial"/>
        </w:rPr>
        <w:t>Sandberg</w:t>
      </w:r>
      <w:proofErr w:type="spellEnd"/>
      <w:r w:rsidRPr="00DF09F8">
        <w:rPr>
          <w:rFonts w:ascii="Arial" w:eastAsia="Arial" w:hAnsi="Arial" w:cs="Arial"/>
        </w:rPr>
        <w:t xml:space="preserve"> </w:t>
      </w:r>
      <w:proofErr w:type="spellStart"/>
      <w:r w:rsidRPr="00DF09F8">
        <w:rPr>
          <w:rFonts w:ascii="Arial" w:eastAsia="Arial" w:hAnsi="Arial" w:cs="Arial"/>
        </w:rPr>
        <w:t>Capital</w:t>
      </w:r>
      <w:proofErr w:type="spellEnd"/>
      <w:r w:rsidRPr="00DF09F8">
        <w:rPr>
          <w:rFonts w:ascii="Arial" w:eastAsia="Arial" w:hAnsi="Arial" w:cs="Arial"/>
        </w:rPr>
        <w:t xml:space="preserve"> je slovenská </w:t>
      </w:r>
      <w:proofErr w:type="spellStart"/>
      <w:r w:rsidR="00711F17">
        <w:rPr>
          <w:rFonts w:ascii="Arial" w:hAnsi="Arial" w:cs="Arial"/>
          <w:lang w:eastAsia="en-US"/>
        </w:rPr>
        <w:t>private</w:t>
      </w:r>
      <w:proofErr w:type="spellEnd"/>
      <w:r w:rsidR="00711F17">
        <w:rPr>
          <w:rFonts w:ascii="Arial" w:hAnsi="Arial" w:cs="Arial"/>
          <w:lang w:eastAsia="en-US"/>
        </w:rPr>
        <w:t xml:space="preserve"> </w:t>
      </w:r>
      <w:proofErr w:type="spellStart"/>
      <w:r w:rsidR="00711F17">
        <w:rPr>
          <w:rFonts w:ascii="Arial" w:hAnsi="Arial" w:cs="Arial"/>
          <w:lang w:eastAsia="en-US"/>
        </w:rPr>
        <w:t>equity</w:t>
      </w:r>
      <w:proofErr w:type="spellEnd"/>
      <w:r w:rsidR="00711F17">
        <w:rPr>
          <w:rFonts w:ascii="Arial" w:hAnsi="Arial" w:cs="Arial"/>
          <w:lang w:eastAsia="en-US"/>
        </w:rPr>
        <w:t xml:space="preserve"> </w:t>
      </w:r>
      <w:r w:rsidRPr="00DF09F8">
        <w:rPr>
          <w:rFonts w:ascii="Arial" w:eastAsia="Arial" w:hAnsi="Arial" w:cs="Arial"/>
        </w:rPr>
        <w:t xml:space="preserve">spoločnosť, ktorá vznikla v roku 2014. Zameriava sa na investovanie do menších a stredne veľkých spoločností na Slovensku a v regióne CEE. Vo svojom prvom fonde spravuje aktíva s hodnotou viac ako 210 miliónov eur, ktoré investovala do oblastí IT, telekomunikácií, poľnohospodárstva, vzdelávania a maloobchodu. V decembri 2021 sa </w:t>
      </w:r>
      <w:proofErr w:type="spellStart"/>
      <w:r w:rsidRPr="00DF09F8">
        <w:rPr>
          <w:rFonts w:ascii="Arial" w:eastAsia="Arial" w:hAnsi="Arial" w:cs="Arial"/>
        </w:rPr>
        <w:t>Sandbergu</w:t>
      </w:r>
      <w:proofErr w:type="spellEnd"/>
      <w:r w:rsidRPr="00DF09F8">
        <w:rPr>
          <w:rFonts w:ascii="Arial" w:eastAsia="Arial" w:hAnsi="Arial" w:cs="Arial"/>
        </w:rPr>
        <w:t xml:space="preserve"> podarilo uzatvoriť svoj druhý investičný fond s objemom viazaného kapitálu 130 miliónov eur a investovali doň primárne inštitucionálni investori vrátane jedného z najväčších európskych investorov – </w:t>
      </w:r>
      <w:proofErr w:type="spellStart"/>
      <w:r w:rsidRPr="00DF09F8">
        <w:rPr>
          <w:rFonts w:ascii="Arial" w:eastAsia="Arial" w:hAnsi="Arial" w:cs="Arial"/>
        </w:rPr>
        <w:t>European</w:t>
      </w:r>
      <w:proofErr w:type="spellEnd"/>
      <w:r w:rsidRPr="00DF09F8">
        <w:rPr>
          <w:rFonts w:ascii="Arial" w:eastAsia="Arial" w:hAnsi="Arial" w:cs="Arial"/>
        </w:rPr>
        <w:t xml:space="preserve"> </w:t>
      </w:r>
      <w:proofErr w:type="spellStart"/>
      <w:r w:rsidRPr="00DF09F8">
        <w:rPr>
          <w:rFonts w:ascii="Arial" w:eastAsia="Arial" w:hAnsi="Arial" w:cs="Arial"/>
        </w:rPr>
        <w:t>Investment</w:t>
      </w:r>
      <w:proofErr w:type="spellEnd"/>
      <w:r w:rsidRPr="00DF09F8">
        <w:rPr>
          <w:rFonts w:ascii="Arial" w:eastAsia="Arial" w:hAnsi="Arial" w:cs="Arial"/>
        </w:rPr>
        <w:t xml:space="preserve"> </w:t>
      </w:r>
      <w:proofErr w:type="spellStart"/>
      <w:r w:rsidRPr="00DF09F8">
        <w:rPr>
          <w:rFonts w:ascii="Arial" w:eastAsia="Arial" w:hAnsi="Arial" w:cs="Arial"/>
        </w:rPr>
        <w:t>Fund</w:t>
      </w:r>
      <w:proofErr w:type="spellEnd"/>
      <w:r w:rsidRPr="00DF09F8">
        <w:rPr>
          <w:rFonts w:ascii="Arial" w:eastAsia="Arial" w:hAnsi="Arial" w:cs="Arial"/>
        </w:rPr>
        <w:t xml:space="preserve">. V roku 2021 smerovala prvá investícia do slovenskej </w:t>
      </w:r>
      <w:proofErr w:type="spellStart"/>
      <w:r w:rsidRPr="00DF09F8">
        <w:rPr>
          <w:rFonts w:ascii="Arial" w:eastAsia="Arial" w:hAnsi="Arial" w:cs="Arial"/>
        </w:rPr>
        <w:t>outsourcingovej</w:t>
      </w:r>
      <w:proofErr w:type="spellEnd"/>
      <w:r w:rsidRPr="00DF09F8">
        <w:rPr>
          <w:rFonts w:ascii="Arial" w:eastAsia="Arial" w:hAnsi="Arial" w:cs="Arial"/>
        </w:rPr>
        <w:t xml:space="preserve"> spoločnosti IT špecialistov </w:t>
      </w:r>
      <w:proofErr w:type="spellStart"/>
      <w:r w:rsidRPr="00DF09F8">
        <w:rPr>
          <w:rFonts w:ascii="Arial" w:eastAsia="Arial" w:hAnsi="Arial" w:cs="Arial"/>
        </w:rPr>
        <w:t>Titans</w:t>
      </w:r>
      <w:proofErr w:type="spellEnd"/>
      <w:r w:rsidRPr="00DF09F8">
        <w:rPr>
          <w:rFonts w:ascii="Arial" w:eastAsia="Arial" w:hAnsi="Arial" w:cs="Arial"/>
        </w:rPr>
        <w:t xml:space="preserve"> </w:t>
      </w:r>
      <w:proofErr w:type="spellStart"/>
      <w:r w:rsidRPr="00DF09F8">
        <w:rPr>
          <w:rFonts w:ascii="Arial" w:eastAsia="Arial" w:hAnsi="Arial" w:cs="Arial"/>
        </w:rPr>
        <w:t>freelancers</w:t>
      </w:r>
      <w:proofErr w:type="spellEnd"/>
      <w:r w:rsidRPr="00DF09F8">
        <w:rPr>
          <w:rFonts w:ascii="Arial" w:eastAsia="Arial" w:hAnsi="Arial" w:cs="Arial"/>
        </w:rPr>
        <w:t xml:space="preserve"> a druhá do českého lídra v oblasti riešení pre kontaktné centrá a komunikáciu so zákazníkmi </w:t>
      </w:r>
      <w:proofErr w:type="spellStart"/>
      <w:r w:rsidRPr="00DF09F8">
        <w:rPr>
          <w:rFonts w:ascii="Arial" w:eastAsia="Arial" w:hAnsi="Arial" w:cs="Arial"/>
        </w:rPr>
        <w:t>Daktela</w:t>
      </w:r>
      <w:proofErr w:type="spellEnd"/>
      <w:r w:rsidRPr="00DF09F8">
        <w:rPr>
          <w:rFonts w:ascii="Arial" w:eastAsia="Arial" w:hAnsi="Arial" w:cs="Arial"/>
        </w:rPr>
        <w:t>. </w:t>
      </w:r>
    </w:p>
    <w:p w14:paraId="44B10154" w14:textId="77777777" w:rsidR="002A2C7F" w:rsidRPr="00DF09F8" w:rsidRDefault="002A2C7F" w:rsidP="002A2C7F">
      <w:pPr>
        <w:pStyle w:val="paragraph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DF09F8">
        <w:rPr>
          <w:rFonts w:ascii="Arial" w:eastAsia="Arial" w:hAnsi="Arial" w:cs="Arial"/>
          <w:sz w:val="22"/>
          <w:szCs w:val="22"/>
        </w:rPr>
        <w:t>  </w:t>
      </w:r>
    </w:p>
    <w:p w14:paraId="558CCE67" w14:textId="77777777" w:rsidR="002A2C7F" w:rsidRPr="00DF09F8" w:rsidRDefault="002A2C7F" w:rsidP="002A2C7F">
      <w:pPr>
        <w:pStyle w:val="paragraph"/>
        <w:textAlignment w:val="baseline"/>
        <w:rPr>
          <w:rFonts w:ascii="Arial" w:eastAsia="Arial" w:hAnsi="Arial" w:cs="Arial"/>
          <w:sz w:val="22"/>
          <w:szCs w:val="22"/>
        </w:rPr>
      </w:pPr>
      <w:r w:rsidRPr="00DF09F8">
        <w:rPr>
          <w:rFonts w:ascii="Arial" w:eastAsia="Arial" w:hAnsi="Arial" w:cs="Arial"/>
          <w:sz w:val="22"/>
          <w:szCs w:val="22"/>
        </w:rPr>
        <w:t>  </w:t>
      </w:r>
    </w:p>
    <w:p w14:paraId="15D72BEC" w14:textId="77777777" w:rsidR="002A2C7F" w:rsidRPr="00DF09F8" w:rsidRDefault="002A2C7F" w:rsidP="002A2C7F">
      <w:pPr>
        <w:pStyle w:val="paragraph"/>
        <w:textAlignment w:val="baseline"/>
        <w:rPr>
          <w:rFonts w:ascii="Arial" w:eastAsia="Arial" w:hAnsi="Arial" w:cs="Arial"/>
          <w:sz w:val="22"/>
          <w:szCs w:val="22"/>
        </w:rPr>
      </w:pPr>
      <w:r w:rsidRPr="00DF09F8">
        <w:rPr>
          <w:rFonts w:ascii="Arial" w:eastAsia="Arial" w:hAnsi="Arial" w:cs="Arial"/>
        </w:rPr>
        <w:lastRenderedPageBreak/>
        <w:t>Ďalšie informácie vám poskytne: </w:t>
      </w:r>
    </w:p>
    <w:p w14:paraId="7ABCC2CA" w14:textId="77777777" w:rsidR="002A2C7F" w:rsidRPr="00DF09F8" w:rsidRDefault="002A2C7F" w:rsidP="00DF09F8">
      <w:pPr>
        <w:pStyle w:val="paragraph"/>
        <w:numPr>
          <w:ilvl w:val="0"/>
          <w:numId w:val="1"/>
        </w:numPr>
        <w:tabs>
          <w:tab w:val="clear" w:pos="720"/>
          <w:tab w:val="num" w:pos="284"/>
        </w:tabs>
        <w:ind w:left="142" w:firstLine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DF09F8">
        <w:rPr>
          <w:rFonts w:ascii="Arial" w:eastAsia="Arial" w:hAnsi="Arial" w:cs="Arial"/>
        </w:rPr>
        <w:t xml:space="preserve">Solitea: Michaela Raffayová, </w:t>
      </w:r>
      <w:hyperlink r:id="rId10" w:tgtFrame="_blank" w:history="1">
        <w:r w:rsidRPr="00DF09F8">
          <w:rPr>
            <w:rFonts w:ascii="Arial" w:eastAsia="Arial" w:hAnsi="Arial" w:cs="Arial"/>
          </w:rPr>
          <w:t>michaela.raffayova@solitea.sk</w:t>
        </w:r>
      </w:hyperlink>
      <w:r w:rsidRPr="00DF09F8">
        <w:rPr>
          <w:rFonts w:ascii="Arial" w:eastAsia="Arial" w:hAnsi="Arial" w:cs="Arial"/>
        </w:rPr>
        <w:t>, +421 948 939 342 </w:t>
      </w:r>
    </w:p>
    <w:p w14:paraId="194EB6EC" w14:textId="77777777" w:rsidR="00942F71" w:rsidRPr="00DF09F8" w:rsidRDefault="00942F71">
      <w:pPr>
        <w:rPr>
          <w:rFonts w:ascii="Arial" w:eastAsia="Arial" w:hAnsi="Arial" w:cs="Arial"/>
          <w:lang w:eastAsia="sk-SK"/>
        </w:rPr>
      </w:pPr>
    </w:p>
    <w:sectPr w:rsidR="00942F71" w:rsidRPr="00DF09F8" w:rsidSect="002A2C7F">
      <w:headerReference w:type="defaul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F2F03" w14:textId="77777777" w:rsidR="002A2C7F" w:rsidRDefault="002A2C7F" w:rsidP="002A2C7F">
      <w:pPr>
        <w:spacing w:after="0" w:line="240" w:lineRule="auto"/>
      </w:pPr>
      <w:r>
        <w:separator/>
      </w:r>
    </w:p>
  </w:endnote>
  <w:endnote w:type="continuationSeparator" w:id="0">
    <w:p w14:paraId="0B3D6930" w14:textId="77777777" w:rsidR="002A2C7F" w:rsidRDefault="002A2C7F" w:rsidP="002A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B4F05" w14:textId="77777777" w:rsidR="002A2C7F" w:rsidRDefault="002A2C7F" w:rsidP="002A2C7F">
      <w:pPr>
        <w:spacing w:after="0" w:line="240" w:lineRule="auto"/>
      </w:pPr>
      <w:r>
        <w:separator/>
      </w:r>
    </w:p>
  </w:footnote>
  <w:footnote w:type="continuationSeparator" w:id="0">
    <w:p w14:paraId="2286DB82" w14:textId="77777777" w:rsidR="002A2C7F" w:rsidRDefault="002A2C7F" w:rsidP="002A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02D8" w14:textId="263F31F3" w:rsidR="002A2C7F" w:rsidRDefault="002A2C7F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6C0979" wp14:editId="7C651D36">
          <wp:simplePos x="0" y="0"/>
          <wp:positionH relativeFrom="column">
            <wp:posOffset>-350851</wp:posOffset>
          </wp:positionH>
          <wp:positionV relativeFrom="page">
            <wp:posOffset>293453</wp:posOffset>
          </wp:positionV>
          <wp:extent cx="2005330" cy="523875"/>
          <wp:effectExtent l="0" t="0" r="0" b="9525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33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95759"/>
    <w:multiLevelType w:val="multilevel"/>
    <w:tmpl w:val="7E48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497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7F"/>
    <w:rsid w:val="00060423"/>
    <w:rsid w:val="002A2C7F"/>
    <w:rsid w:val="004E173E"/>
    <w:rsid w:val="00711F17"/>
    <w:rsid w:val="00942F71"/>
    <w:rsid w:val="00D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040BE"/>
  <w15:chartTrackingRefBased/>
  <w15:docId w15:val="{0297B7C7-4F56-4650-944A-0579EAAC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2A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pellingerror">
    <w:name w:val="spellingerror"/>
    <w:basedOn w:val="Predvolenpsmoodseku"/>
    <w:rsid w:val="002A2C7F"/>
  </w:style>
  <w:style w:type="character" w:customStyle="1" w:styleId="normaltextrun">
    <w:name w:val="normaltextrun"/>
    <w:basedOn w:val="Predvolenpsmoodseku"/>
    <w:rsid w:val="002A2C7F"/>
  </w:style>
  <w:style w:type="character" w:customStyle="1" w:styleId="eop">
    <w:name w:val="eop"/>
    <w:basedOn w:val="Predvolenpsmoodseku"/>
    <w:rsid w:val="002A2C7F"/>
  </w:style>
  <w:style w:type="paragraph" w:styleId="Hlavika">
    <w:name w:val="header"/>
    <w:basedOn w:val="Normlny"/>
    <w:link w:val="HlavikaChar"/>
    <w:uiPriority w:val="99"/>
    <w:unhideWhenUsed/>
    <w:rsid w:val="002A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2C7F"/>
  </w:style>
  <w:style w:type="paragraph" w:styleId="Pta">
    <w:name w:val="footer"/>
    <w:basedOn w:val="Normlny"/>
    <w:link w:val="PtaChar"/>
    <w:uiPriority w:val="99"/>
    <w:unhideWhenUsed/>
    <w:rsid w:val="002A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2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sco.s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litea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ichaela.raffayova@solite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ite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Raffayová Michaela</dc:creator>
  <cp:keywords/>
  <dc:description/>
  <cp:lastModifiedBy>Raffayová Michaela</cp:lastModifiedBy>
  <cp:revision>3</cp:revision>
  <dcterms:created xsi:type="dcterms:W3CDTF">2022-07-28T09:43:00Z</dcterms:created>
  <dcterms:modified xsi:type="dcterms:W3CDTF">2022-07-28T11:20:00Z</dcterms:modified>
</cp:coreProperties>
</file>