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84F85" w:rsidRDefault="002F37DF">
      <w:pPr>
        <w:spacing w:line="36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Češi včas zaplatí pouze polovinu faktur</w:t>
      </w:r>
    </w:p>
    <w:p w14:paraId="00000002" w14:textId="77777777" w:rsidR="00E84F85" w:rsidRDefault="00E84F85">
      <w:pPr>
        <w:spacing w:line="360" w:lineRule="auto"/>
        <w:jc w:val="both"/>
      </w:pPr>
    </w:p>
    <w:p w14:paraId="00000003" w14:textId="77777777" w:rsidR="00E84F85" w:rsidRDefault="002F37DF">
      <w:pPr>
        <w:spacing w:line="360" w:lineRule="auto"/>
        <w:jc w:val="both"/>
        <w:rPr>
          <w:b/>
        </w:rPr>
      </w:pPr>
      <w:r>
        <w:t xml:space="preserve">Praha 12. října 2021 – </w:t>
      </w:r>
      <w:r>
        <w:rPr>
          <w:b/>
        </w:rPr>
        <w:t xml:space="preserve">Zdá se, že pokud jde o platební morálku, nepatří Češi zrovna mezi premianty. Podle dat z fakturačních systémů pro živnostníky i firmy od společnosti </w:t>
      </w:r>
      <w:hyperlink r:id="rId4">
        <w:r>
          <w:rPr>
            <w:b/>
            <w:color w:val="1155CC"/>
            <w:u w:val="single"/>
          </w:rPr>
          <w:t>Solitea</w:t>
        </w:r>
      </w:hyperlink>
      <w:r>
        <w:rPr>
          <w:b/>
        </w:rPr>
        <w:t xml:space="preserve"> uhradí odběratelé pouze polovinu faktur ve smluveném termínu</w:t>
      </w:r>
      <w:r>
        <w:rPr>
          <w:b/>
        </w:rPr>
        <w:t xml:space="preserve">. Na vině přitom není ani pandemie Covidu-19 – počet faktur, které byly zaplaceny včas, se od počátku roku 2019 do poloviny toho letošního téměř nezměnil. </w:t>
      </w:r>
    </w:p>
    <w:p w14:paraId="00000004" w14:textId="77777777" w:rsidR="00E84F85" w:rsidRDefault="00E84F85">
      <w:pPr>
        <w:spacing w:line="360" w:lineRule="auto"/>
        <w:jc w:val="both"/>
      </w:pPr>
    </w:p>
    <w:p w14:paraId="00000005" w14:textId="77777777" w:rsidR="00E84F85" w:rsidRDefault="002F37DF">
      <w:pPr>
        <w:spacing w:line="360" w:lineRule="auto"/>
        <w:jc w:val="both"/>
      </w:pPr>
      <w:r>
        <w:t>O jak dlouho se jednotlivci i firmy nejčastěji s placením opozdí? Průměrně 13 % faktur zaplatí do s</w:t>
      </w:r>
      <w:r>
        <w:t>edmi dnů od data splatnosti. V tomto případě se přitom platební morálka s postupující pandemií horšila. Zatímco v dubnu 2019 zaplatili Češi do sedmi dnů po splatnosti 14 % faktur, v prosinci 2020 jich bylo v této době zaplaceno jen 10,6 %. Lidé platby odso</w:t>
      </w:r>
      <w:r>
        <w:t>uvali do pozdějších termínů a téměř ke 24 % se vyhoupl počet faktur, které nebyly nakonec zaplaceny vůbec.</w:t>
      </w:r>
    </w:p>
    <w:p w14:paraId="00000006" w14:textId="77777777" w:rsidR="00E84F85" w:rsidRDefault="00E84F85">
      <w:pPr>
        <w:spacing w:line="360" w:lineRule="auto"/>
        <w:jc w:val="both"/>
      </w:pPr>
    </w:p>
    <w:p w14:paraId="00000007" w14:textId="77777777" w:rsidR="00E84F85" w:rsidRDefault="002F37DF">
      <w:pPr>
        <w:spacing w:line="360" w:lineRule="auto"/>
        <w:jc w:val="both"/>
        <w:rPr>
          <w:i/>
        </w:rPr>
      </w:pPr>
      <w:r>
        <w:rPr>
          <w:i/>
        </w:rPr>
        <w:t>“Naše systémy sice ukazují, že nikdy není zaplaceno více než 20 % všech v Česku vystavených faktur. Domníváme se však, že reálný počet těch nikdy ne</w:t>
      </w:r>
      <w:r>
        <w:rPr>
          <w:i/>
        </w:rPr>
        <w:t>uhrazených je výrazně nižší. Odhadujeme, že přibližně třetina až polovina faktur, které evidujeme jako nezaplacené, je ve skutečnosti uhrazena. Čeští podnikatelé pouze ve fakturačním systému nezaznamenají, že jim peníze dorazily, a proto tyto faktury i nad</w:t>
      </w:r>
      <w:r>
        <w:rPr>
          <w:i/>
        </w:rPr>
        <w:t xml:space="preserve">ále evidujeme jako neproplacené,” </w:t>
      </w:r>
      <w:r>
        <w:t xml:space="preserve">vysvětluje Daniel Šturm, marketingový ředitel společnosti Solitea. </w:t>
      </w:r>
      <w:r>
        <w:rPr>
          <w:i/>
        </w:rPr>
        <w:t xml:space="preserve"> </w:t>
      </w:r>
    </w:p>
    <w:p w14:paraId="00000008" w14:textId="77777777" w:rsidR="00E84F85" w:rsidRDefault="00E84F85">
      <w:pPr>
        <w:spacing w:line="360" w:lineRule="auto"/>
        <w:jc w:val="both"/>
      </w:pPr>
    </w:p>
    <w:p w14:paraId="00000009" w14:textId="77777777" w:rsidR="00E84F85" w:rsidRDefault="002F37DF">
      <w:pPr>
        <w:spacing w:line="360" w:lineRule="auto"/>
        <w:jc w:val="both"/>
        <w:rPr>
          <w:i/>
        </w:rPr>
      </w:pPr>
      <w:r>
        <w:t xml:space="preserve">Do jednoho měsíce od termínu uhradí Češi průměrně 11 % faktur. </w:t>
      </w:r>
      <w:r>
        <w:rPr>
          <w:i/>
        </w:rPr>
        <w:t xml:space="preserve">“Pokud odběratelé nezaplatí do měsíce od data splatnosti, šance dodavatelů získat peníze </w:t>
      </w:r>
      <w:r>
        <w:rPr>
          <w:i/>
        </w:rPr>
        <w:t xml:space="preserve">standardní cestou se podle našich statistik velmi snižuje – pouhých 6 % faktur zaplatí odběratelé po třicátém dni od splatnosti,” </w:t>
      </w:r>
      <w:r>
        <w:t>dodává Šturm.</w:t>
      </w:r>
      <w:r>
        <w:rPr>
          <w:i/>
        </w:rPr>
        <w:t xml:space="preserve">   </w:t>
      </w:r>
    </w:p>
    <w:p w14:paraId="0000000A" w14:textId="77777777" w:rsidR="00E84F85" w:rsidRDefault="002F37DF">
      <w:pPr>
        <w:spacing w:line="360" w:lineRule="auto"/>
        <w:jc w:val="both"/>
      </w:pPr>
      <w:r>
        <w:t xml:space="preserve"> </w:t>
      </w:r>
    </w:p>
    <w:p w14:paraId="0000000B" w14:textId="77777777" w:rsidR="00E84F85" w:rsidRDefault="002F37DF">
      <w:pPr>
        <w:spacing w:line="360" w:lineRule="auto"/>
        <w:jc w:val="both"/>
        <w:rPr>
          <w:i/>
        </w:rPr>
      </w:pPr>
      <w:r>
        <w:t>A jaká je pro srovnání situace na Slovensku? Podle statistik z fakturačních systémů jsou na tom naši východ</w:t>
      </w:r>
      <w:r>
        <w:t xml:space="preserve">ní sousedé s platební morálkou ještě o něco hůř než my. Ve sledovaném období Slováci uhradili ke stanovenému datu splatnosti pouze 38 % faktur. Dalších 11 % pak bylo zaplaceno do sedmi dnů po splatnosti a srovnatelné množství z nich uhradili lidé či firmy </w:t>
      </w:r>
      <w:r>
        <w:t xml:space="preserve">do měsíce po datu splatnosti. Bez záznamu o zaplacení zůstalo 34 % vystavených faktur. </w:t>
      </w:r>
      <w:r>
        <w:rPr>
          <w:i/>
        </w:rPr>
        <w:t>“Zaznamenávání příchozích plateb ve fakturačním programu samozřejmě velmi doporučujeme. Je to účinná prevence proti budoucím nedorozuměním a nejasnostem s platbami. Poku</w:t>
      </w:r>
      <w:r>
        <w:rPr>
          <w:i/>
        </w:rPr>
        <w:t xml:space="preserve">d vydávám pár faktur měsíčně, dokážu si proplacení ohlídat i ručně. Když se ale podnikání rozjede ve větším, je systematická evidence nezbytná a fakturační program může ušetřit spoustu zbytečných nervů,” </w:t>
      </w:r>
      <w:r>
        <w:t>podotýká Šturm.</w:t>
      </w:r>
      <w:r>
        <w:rPr>
          <w:i/>
        </w:rPr>
        <w:t xml:space="preserve"> </w:t>
      </w:r>
    </w:p>
    <w:p w14:paraId="0000000C" w14:textId="77777777" w:rsidR="00E84F85" w:rsidRDefault="00E84F85">
      <w:pPr>
        <w:spacing w:line="360" w:lineRule="auto"/>
        <w:jc w:val="both"/>
        <w:rPr>
          <w:i/>
        </w:rPr>
      </w:pPr>
    </w:p>
    <w:p w14:paraId="0000000D" w14:textId="77777777" w:rsidR="00E84F85" w:rsidRDefault="002F37DF">
      <w:pPr>
        <w:spacing w:line="360" w:lineRule="auto"/>
        <w:jc w:val="both"/>
        <w:rPr>
          <w:b/>
        </w:rPr>
      </w:pPr>
      <w:r>
        <w:rPr>
          <w:b/>
        </w:rPr>
        <w:t xml:space="preserve">Jak postupovat, když se některá z </w:t>
      </w:r>
      <w:r>
        <w:rPr>
          <w:b/>
        </w:rPr>
        <w:t>vašich faktur objeví mezi nezaplacenými?</w:t>
      </w:r>
    </w:p>
    <w:p w14:paraId="0000000E" w14:textId="77777777" w:rsidR="00E84F85" w:rsidRDefault="00E84F85">
      <w:pPr>
        <w:spacing w:line="360" w:lineRule="auto"/>
        <w:jc w:val="both"/>
      </w:pPr>
    </w:p>
    <w:p w14:paraId="0000000F" w14:textId="77777777" w:rsidR="00E84F85" w:rsidRDefault="002F37DF">
      <w:pPr>
        <w:spacing w:line="360" w:lineRule="auto"/>
        <w:jc w:val="both"/>
      </w:pPr>
      <w:r>
        <w:rPr>
          <w:b/>
        </w:rPr>
        <w:t xml:space="preserve">1/ </w:t>
      </w:r>
      <w:r>
        <w:t>Pokud se stane, že klient fakturu neproplatí, je nutné tuto situaci co nejrychleji začít řešit. Může jít o opomenutí nebo se třeba mohlo stát, že e-mail s fakturou zapadl do spamu. Proto je vhodné odběratele slu</w:t>
      </w:r>
      <w:r>
        <w:t>šně upozornit, že k jejímu proplacení doposud nedošlo. K tomuto kroku běžně dochází okolo sedmého dne po datu splatnosti.</w:t>
      </w:r>
    </w:p>
    <w:p w14:paraId="00000010" w14:textId="77777777" w:rsidR="00E84F85" w:rsidRDefault="00E84F85">
      <w:pPr>
        <w:spacing w:line="360" w:lineRule="auto"/>
        <w:jc w:val="both"/>
      </w:pPr>
    </w:p>
    <w:p w14:paraId="00000011" w14:textId="77777777" w:rsidR="00E84F85" w:rsidRDefault="002F37DF">
      <w:pPr>
        <w:spacing w:line="360" w:lineRule="auto"/>
        <w:jc w:val="both"/>
      </w:pPr>
      <w:r>
        <w:rPr>
          <w:b/>
        </w:rPr>
        <w:t>2/</w:t>
      </w:r>
      <w:r>
        <w:t xml:space="preserve"> Nedojde-li po první upomínce k proplacení faktury, je vhodné dlužníkovi poslat další, tentokrát důraznější upomínku. V ní by mělo </w:t>
      </w:r>
      <w:r>
        <w:t xml:space="preserve">být důrazně naznačeno, k čemu by mohlo dojít, pokud by dlužná částka nebyla uhrazena. </w:t>
      </w:r>
    </w:p>
    <w:p w14:paraId="00000012" w14:textId="77777777" w:rsidR="00E84F85" w:rsidRDefault="00E84F85">
      <w:pPr>
        <w:spacing w:line="360" w:lineRule="auto"/>
        <w:jc w:val="both"/>
      </w:pPr>
    </w:p>
    <w:p w14:paraId="00000013" w14:textId="77777777" w:rsidR="00E84F85" w:rsidRDefault="002F37DF">
      <w:pPr>
        <w:spacing w:line="360" w:lineRule="auto"/>
        <w:jc w:val="both"/>
      </w:pPr>
      <w:r>
        <w:rPr>
          <w:b/>
        </w:rPr>
        <w:t>3/</w:t>
      </w:r>
      <w:r>
        <w:t xml:space="preserve"> Nehodlá-li dlužník přes veškerou vaši snahu upomínat fakturu zaplatit, je jedinou zbývající cestou soud. Před podáním samotné žaloby musíte ve stanoveném termínu dlu</w:t>
      </w:r>
      <w:r>
        <w:t>žníkovi zaslat tzv. předžalobní výzvu. V případě, že soud rozhodne ve prospěch dodavatele, má dlužník za povinnost dluh ve stanovené lhůtě uhradit.</w:t>
      </w:r>
    </w:p>
    <w:p w14:paraId="00000014" w14:textId="77777777" w:rsidR="00E84F85" w:rsidRDefault="00E84F85">
      <w:pPr>
        <w:spacing w:line="360" w:lineRule="auto"/>
        <w:jc w:val="both"/>
      </w:pPr>
    </w:p>
    <w:p w14:paraId="00000015" w14:textId="77777777" w:rsidR="00E84F85" w:rsidRDefault="002F37DF">
      <w:pPr>
        <w:spacing w:line="360" w:lineRule="auto"/>
        <w:jc w:val="both"/>
      </w:pPr>
      <w:r>
        <w:rPr>
          <w:b/>
        </w:rPr>
        <w:t>4/</w:t>
      </w:r>
      <w:r>
        <w:t xml:space="preserve"> Dalším možným řešením situace, kdy dlužník odmítá zaplatit, je odprodej pohledávky společnosti, která se</w:t>
      </w:r>
      <w:r>
        <w:t xml:space="preserve"> jejich vymáhání věnuje. </w:t>
      </w:r>
    </w:p>
    <w:p w14:paraId="00000016" w14:textId="77777777" w:rsidR="00E84F85" w:rsidRDefault="00E84F85">
      <w:pPr>
        <w:spacing w:line="360" w:lineRule="auto"/>
        <w:jc w:val="both"/>
      </w:pPr>
    </w:p>
    <w:p w14:paraId="00000017" w14:textId="77777777" w:rsidR="00E84F85" w:rsidRDefault="002F37DF">
      <w:pPr>
        <w:spacing w:line="360" w:lineRule="auto"/>
        <w:jc w:val="both"/>
        <w:rPr>
          <w:b/>
        </w:rPr>
      </w:pPr>
      <w:r>
        <w:rPr>
          <w:b/>
        </w:rPr>
        <w:t>O Solitea</w:t>
      </w:r>
    </w:p>
    <w:p w14:paraId="00000018" w14:textId="77777777" w:rsidR="00E84F85" w:rsidRDefault="002F37DF">
      <w:pPr>
        <w:spacing w:line="360" w:lineRule="auto"/>
        <w:jc w:val="both"/>
      </w:pPr>
      <w:r>
        <w:t xml:space="preserve">Solitea, a.s., patří mezi velké evropské dodavatele ICT řešení. Společnost zaměstnává přes 1000 zaměstnanců ze sedmi zemí světa a v rámci evropského regionu obsluhuje přes 260 000 zákazníků v 15 zemích. V letošním roce </w:t>
      </w:r>
      <w:r>
        <w:t>holding očekává výnosy přesahující 2,5 miliardy korun a dlouhodobě patří k nejrychleji rostoucím IT společnostem v regionu. V posledních čtyřech letech uskutečnila Solitea řadu významných akvizic IT společností v České a Slovenské republice (</w:t>
      </w:r>
      <w:proofErr w:type="spellStart"/>
      <w:r>
        <w:t>Altus</w:t>
      </w:r>
      <w:proofErr w:type="spellEnd"/>
      <w:r>
        <w:t xml:space="preserve"> software</w:t>
      </w:r>
      <w:r>
        <w:t xml:space="preserve">, </w:t>
      </w:r>
      <w:proofErr w:type="spellStart"/>
      <w:r>
        <w:t>Aquasoft</w:t>
      </w:r>
      <w:proofErr w:type="spellEnd"/>
      <w:r>
        <w:t xml:space="preserve">, Axiom, BI </w:t>
      </w:r>
      <w:proofErr w:type="spellStart"/>
      <w:r>
        <w:t>Experts</w:t>
      </w:r>
      <w:proofErr w:type="spellEnd"/>
      <w:r>
        <w:t xml:space="preserve">, CDL SYSTEM, Cígler software, </w:t>
      </w:r>
      <w:proofErr w:type="spellStart"/>
      <w:r>
        <w:t>Clever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, D3Soft, </w:t>
      </w:r>
      <w:proofErr w:type="spellStart"/>
      <w:r>
        <w:t>Dotykačka</w:t>
      </w:r>
      <w:proofErr w:type="spellEnd"/>
      <w:r>
        <w:t xml:space="preserve">, </w:t>
      </w:r>
      <w:proofErr w:type="spellStart"/>
      <w:r>
        <w:t>Dynamica</w:t>
      </w:r>
      <w:proofErr w:type="spellEnd"/>
      <w:r>
        <w:t xml:space="preserve">, GEMMA Systems, J.K.R., </w:t>
      </w:r>
      <w:proofErr w:type="spellStart"/>
      <w:r>
        <w:t>Maind</w:t>
      </w:r>
      <w:proofErr w:type="spellEnd"/>
      <w:r>
        <w:t xml:space="preserve">, </w:t>
      </w:r>
      <w:proofErr w:type="spellStart"/>
      <w:r>
        <w:t>Neit</w:t>
      </w:r>
      <w:proofErr w:type="spellEnd"/>
      <w:r>
        <w:t xml:space="preserve">, Smart software, </w:t>
      </w:r>
      <w:proofErr w:type="spellStart"/>
      <w:r>
        <w:t>Vema</w:t>
      </w:r>
      <w:proofErr w:type="spellEnd"/>
      <w:r>
        <w:t>, WBI), v Rakousku (JET ERP) a na Balkáně (</w:t>
      </w:r>
      <w:proofErr w:type="spellStart"/>
      <w:r>
        <w:t>Billans</w:t>
      </w:r>
      <w:proofErr w:type="spellEnd"/>
      <w:r>
        <w:t>, MIT Informatika, SAOP). Solitea dlouhodobě</w:t>
      </w:r>
      <w:r>
        <w:t xml:space="preserve"> posiluje svou pozici významného evropského dodavatele informačních technologií pro komerční subjekty i státní správu. Více na </w:t>
      </w:r>
      <w:hyperlink r:id="rId5">
        <w:r>
          <w:rPr>
            <w:color w:val="1155CC"/>
            <w:u w:val="single"/>
          </w:rPr>
          <w:t>www.solitea.com</w:t>
        </w:r>
      </w:hyperlink>
      <w:r>
        <w:t xml:space="preserve">. </w:t>
      </w:r>
    </w:p>
    <w:p w14:paraId="00000019" w14:textId="77777777" w:rsidR="00E84F85" w:rsidRDefault="00E84F85">
      <w:pPr>
        <w:spacing w:line="360" w:lineRule="auto"/>
        <w:jc w:val="both"/>
      </w:pPr>
    </w:p>
    <w:p w14:paraId="0000001A" w14:textId="77777777" w:rsidR="00E84F85" w:rsidRDefault="002F37DF">
      <w:pPr>
        <w:spacing w:line="360" w:lineRule="auto"/>
        <w:jc w:val="both"/>
        <w:rPr>
          <w:b/>
        </w:rPr>
      </w:pPr>
      <w:r>
        <w:rPr>
          <w:b/>
        </w:rPr>
        <w:t>Kontakt pro média:</w:t>
      </w:r>
    </w:p>
    <w:p w14:paraId="0000001B" w14:textId="77777777" w:rsidR="00E84F85" w:rsidRDefault="002F37DF">
      <w:pPr>
        <w:spacing w:line="360" w:lineRule="auto"/>
        <w:jc w:val="both"/>
      </w:pPr>
      <w:r>
        <w:rPr>
          <w:b/>
        </w:rPr>
        <w:t>Solitea:</w:t>
      </w:r>
      <w:r>
        <w:t xml:space="preserve"> Michaela Raffayová, michaela.raffayova@s</w:t>
      </w:r>
      <w:r>
        <w:t>olitea.sk, +421 948 939 342</w:t>
      </w:r>
    </w:p>
    <w:sectPr w:rsidR="00E84F85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F85"/>
    <w:rsid w:val="002F37DF"/>
    <w:rsid w:val="00E8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B65E2F-475E-4C09-91FA-ED71A3AC5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litea.com" TargetMode="External"/><Relationship Id="rId4" Type="http://schemas.openxmlformats.org/officeDocument/2006/relationships/hyperlink" Target="https://solite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701</Words>
  <Characters>3999</Characters>
  <Application>Microsoft Office Word</Application>
  <DocSecurity>4</DocSecurity>
  <Lines>33</Lines>
  <Paragraphs>9</Paragraphs>
  <ScaleCrop>false</ScaleCrop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Raffayová Michaela</dc:creator>
  <cp:lastModifiedBy>Raffayová Michaela</cp:lastModifiedBy>
  <cp:revision>2</cp:revision>
  <dcterms:created xsi:type="dcterms:W3CDTF">2021-12-15T13:56:00Z</dcterms:created>
  <dcterms:modified xsi:type="dcterms:W3CDTF">2021-12-15T13:56:00Z</dcterms:modified>
</cp:coreProperties>
</file>